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7" w:rsidRDefault="00625677">
      <w:pPr>
        <w:pStyle w:val="ConsPlusTitle"/>
        <w:jc w:val="center"/>
      </w:pPr>
      <w:bookmarkStart w:id="0" w:name="P1527"/>
      <w:bookmarkEnd w:id="0"/>
      <w:r>
        <w:t>ПОРЯДОК</w:t>
      </w:r>
    </w:p>
    <w:p w:rsidR="00625677" w:rsidRDefault="00625677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625677" w:rsidRDefault="00625677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625677" w:rsidRDefault="00625677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25677" w:rsidRDefault="00625677">
      <w:pPr>
        <w:pStyle w:val="ConsPlusTitle"/>
        <w:jc w:val="center"/>
      </w:pPr>
      <w:r>
        <w:t xml:space="preserve">УЧРЕЖДЕНИЯМИ, НА РЕАЛИЗАЦИЮ ПРОЕКТА </w:t>
      </w:r>
      <w:proofErr w:type="gramStart"/>
      <w:r>
        <w:t>ТУРИСТСКО-ЭКСКУРСИОННЫХ</w:t>
      </w:r>
      <w:proofErr w:type="gramEnd"/>
    </w:p>
    <w:p w:rsidR="00625677" w:rsidRDefault="00625677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625677" w:rsidRDefault="00625677">
      <w:pPr>
        <w:pStyle w:val="ConsPlusTitle"/>
        <w:jc w:val="center"/>
      </w:pPr>
      <w:r>
        <w:t>"МОЙ РОДНОЙ КРАЙ - ЛЕНИНГРАДСКАЯ ОБЛАСТЬ"</w:t>
      </w:r>
    </w:p>
    <w:p w:rsidR="00625677" w:rsidRDefault="00625677">
      <w:pPr>
        <w:pStyle w:val="ConsPlusNormal"/>
        <w:spacing w:after="1"/>
      </w:pPr>
    </w:p>
    <w:p w:rsidR="00204066" w:rsidRPr="00204066" w:rsidRDefault="00204066" w:rsidP="00204066">
      <w:pPr>
        <w:pStyle w:val="ConsPlusNormal"/>
        <w:jc w:val="center"/>
      </w:pPr>
      <w:r w:rsidRPr="00204066">
        <w:t>Список изменяющих документов</w:t>
      </w:r>
    </w:p>
    <w:p w:rsidR="00204066" w:rsidRPr="00204066" w:rsidRDefault="00204066" w:rsidP="00204066">
      <w:pPr>
        <w:pStyle w:val="ConsPlusNormal"/>
        <w:jc w:val="center"/>
      </w:pPr>
      <w:proofErr w:type="gramStart"/>
      <w:r w:rsidRPr="00204066">
        <w:t xml:space="preserve">(в ред. </w:t>
      </w:r>
      <w:hyperlink r:id="rId5">
        <w:r w:rsidRPr="00204066">
          <w:t>Постановления</w:t>
        </w:r>
      </w:hyperlink>
      <w:r w:rsidRPr="00204066">
        <w:t xml:space="preserve"> Правительства Ленинградской области</w:t>
      </w:r>
      <w:proofErr w:type="gramEnd"/>
    </w:p>
    <w:p w:rsidR="00625677" w:rsidRPr="00204066" w:rsidRDefault="00204066" w:rsidP="00204066">
      <w:pPr>
        <w:pStyle w:val="ConsPlusNormal"/>
        <w:jc w:val="center"/>
      </w:pPr>
      <w:r w:rsidRPr="00204066">
        <w:t>от 30.12.2022 N 1013)</w:t>
      </w:r>
    </w:p>
    <w:p w:rsidR="00204066" w:rsidRDefault="00204066" w:rsidP="00204066">
      <w:pPr>
        <w:pStyle w:val="ConsPlusNormal"/>
        <w:jc w:val="center"/>
        <w:rPr>
          <w:color w:val="392C69"/>
        </w:rPr>
      </w:pPr>
    </w:p>
    <w:p w:rsidR="00204066" w:rsidRDefault="00204066" w:rsidP="00204066">
      <w:pPr>
        <w:pStyle w:val="ConsPlusNormal"/>
        <w:jc w:val="center"/>
      </w:pPr>
    </w:p>
    <w:p w:rsidR="00625677" w:rsidRDefault="00625677">
      <w:pPr>
        <w:pStyle w:val="ConsPlusTitle"/>
        <w:jc w:val="center"/>
        <w:outlineLvl w:val="2"/>
      </w:pPr>
      <w:r>
        <w:t>1. Общие положения</w:t>
      </w:r>
    </w:p>
    <w:p w:rsidR="00625677" w:rsidRDefault="00625677">
      <w:pPr>
        <w:pStyle w:val="ConsPlusNormal"/>
        <w:jc w:val="both"/>
      </w:pPr>
    </w:p>
    <w:p w:rsidR="00625677" w:rsidRDefault="0062567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</w:t>
      </w:r>
      <w:proofErr w:type="gramEnd"/>
      <w:r>
        <w:t xml:space="preserve"> туризма в Ленинградской области" (далее - субсидии, получатели субсидий).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комиссия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</w:t>
      </w:r>
      <w:proofErr w:type="gramStart"/>
      <w:r>
        <w:t>комиссии</w:t>
      </w:r>
      <w:proofErr w:type="gramEnd"/>
      <w:r>
        <w:t xml:space="preserve"> в том числе включаются члены общественных советов при органах исполнительной власти Ленинградской области.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1" w:name="P1545"/>
      <w:bookmarkEnd w:id="1"/>
      <w: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- Ленинградская область" (далее - проект).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545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2" w:name="P1548"/>
      <w:bookmarkEnd w:id="2"/>
      <w:r>
        <w:t xml:space="preserve"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</w:t>
      </w:r>
      <w:proofErr w:type="gramStart"/>
      <w:r>
        <w:t>виды</w:t>
      </w:r>
      <w:proofErr w:type="gramEnd"/>
      <w:r>
        <w:t xml:space="preserve"> деятельности которых </w:t>
      </w:r>
      <w:r>
        <w:lastRenderedPageBreak/>
        <w:t>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- участники конкурсного отбора).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3" w:name="P1549"/>
      <w:bookmarkEnd w:id="3"/>
      <w:r>
        <w:t>1.6. Критерии отбора получателей субсидий: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а) соответствие мероприятий, проводимых в рамках проекта, законодательству в сфере перевозки детей;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б) охват школьников и учащихся мероприятиями, проводимыми в рамках проекта;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в) количество туристских маршрутов, реализуемых в рамках проекта;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г) охват школьников и учащихся с ограниченными возможностями здоровья мероприятиями, проводимыми в рамках проекта;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д) количество реализованных проектов в сфере детско-юношеского туризма за последние пять лет;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е) коли</w:t>
      </w:r>
      <w:bookmarkStart w:id="4" w:name="_GoBack"/>
      <w:bookmarkEnd w:id="4"/>
      <w:r>
        <w:t>чество участников, вовлеченных в реализованные проекты в сфере детско-юношеского туризма;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  <w:proofErr w:type="gramEnd"/>
    </w:p>
    <w:p w:rsidR="00625677" w:rsidRDefault="00625677">
      <w:pPr>
        <w:pStyle w:val="ConsPlusNormal"/>
        <w:jc w:val="both"/>
      </w:pPr>
      <w:r>
        <w:t xml:space="preserve">(п. 1.8 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ind w:firstLine="540"/>
        <w:jc w:val="both"/>
      </w:pPr>
    </w:p>
    <w:p w:rsidR="00625677" w:rsidRDefault="00625677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625677" w:rsidRDefault="00625677">
      <w:pPr>
        <w:pStyle w:val="ConsPlusNormal"/>
        <w:jc w:val="center"/>
      </w:pPr>
    </w:p>
    <w:p w:rsidR="00625677" w:rsidRDefault="00625677">
      <w:pPr>
        <w:pStyle w:val="ConsPlusNormal"/>
        <w:ind w:firstLine="540"/>
        <w:jc w:val="both"/>
      </w:pPr>
      <w:bookmarkStart w:id="5" w:name="P1563"/>
      <w:bookmarkEnd w:id="5"/>
      <w:r>
        <w:t>2.1. Субсидии предоставляются при соблюдении следующих условий: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548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6" w:name="P1565"/>
      <w:bookmarkEnd w:id="6"/>
      <w:r>
        <w:t>2) соответствие участника конкурсного отбора на дату подачи заявки следующим требованиям: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б) участник конкурсного отбора не имеет просроченной задолженности по возврату в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</w:t>
      </w:r>
      <w:r>
        <w:lastRenderedPageBreak/>
        <w:t>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625677" w:rsidRDefault="00625677">
      <w:pPr>
        <w:pStyle w:val="ConsPlusNormal"/>
        <w:spacing w:before="220"/>
        <w:ind w:firstLine="540"/>
        <w:jc w:val="both"/>
      </w:pPr>
      <w:proofErr w:type="gramStart"/>
      <w:r>
        <w:t xml:space="preserve">4) согласие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7">
        <w:r>
          <w:rPr>
            <w:color w:val="0000FF"/>
          </w:rPr>
          <w:t>статьями 268.1</w:t>
        </w:r>
      </w:hyperlink>
      <w:r>
        <w:t xml:space="preserve"> и </w:t>
      </w:r>
      <w:hyperlink r:id="rId8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</w:t>
      </w:r>
      <w:proofErr w:type="gramEnd"/>
      <w:r>
        <w:t xml:space="preserve"> соглашение;</w:t>
      </w:r>
    </w:p>
    <w:p w:rsidR="00625677" w:rsidRDefault="006256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605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58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проекта, начисления на выплаты по оплате труда;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lastRenderedPageBreak/>
        <w:t>прочие расходы, непосредственно связанные с осуществлением мероприятий по реализации проекта.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7" w:name="P1589"/>
      <w:bookmarkEnd w:id="7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б) дату начала подачи или окончания приема предложений (заявок) участников отбора,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объявления о проведении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700">
        <w:r>
          <w:rPr>
            <w:color w:val="0000FF"/>
          </w:rPr>
          <w:t>пунктом 2.22</w:t>
        </w:r>
      </w:hyperlink>
      <w:r>
        <w:t xml:space="preserve"> настоящего Порядка;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д) доменное имя </w:t>
      </w:r>
      <w:proofErr w:type="gramStart"/>
      <w:r>
        <w:t>и(</w:t>
      </w:r>
      <w:proofErr w:type="gramEnd"/>
      <w:r>
        <w:t>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563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требованиям, в соответствии с </w:t>
      </w:r>
      <w:hyperlink w:anchor="P1605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з) порядок отзыва заявок участников конкурсного отбора, порядок возврата заявок участников конкурсного отбора,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к)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м) условия признания победителя (победителей) конкурсного отбора </w:t>
      </w:r>
      <w:proofErr w:type="gramStart"/>
      <w:r>
        <w:t>уклонившимся</w:t>
      </w:r>
      <w:proofErr w:type="gramEnd"/>
      <w:r>
        <w:t xml:space="preserve"> </w:t>
      </w:r>
      <w:r>
        <w:lastRenderedPageBreak/>
        <w:t>(уклонившимися) от заключения соглашения;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н)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8" w:name="P1605"/>
      <w:bookmarkEnd w:id="8"/>
      <w:r>
        <w:t>2.5. Для участия в конкурсном отборе участник представляет в комитет заявку, включающую следующие документы: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г) справку об отсутствии просроченной задолженности по возврату в областной бюджет Ленинградской области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д)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подписями руководителя, главного бухгалтера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ж) справку 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к) копию документа, подтверждающего полномочия руководителя, заверенную подписью руководителя и печатью (при наличии).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2.5.1. Дополнительно в рамках межведомственного информационного взаимодействия </w:t>
      </w:r>
      <w:r>
        <w:lastRenderedPageBreak/>
        <w:t>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t>Межвед</w:t>
      </w:r>
      <w:proofErr w:type="spellEnd"/>
      <w:r>
        <w:t xml:space="preserve"> ЛО") комитетом запрашиваются: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625677" w:rsidRDefault="00625677">
      <w:pPr>
        <w:pStyle w:val="ConsPlusNormal"/>
        <w:spacing w:before="220"/>
        <w:ind w:firstLine="540"/>
        <w:jc w:val="both"/>
      </w:pPr>
      <w:proofErr w:type="gramStart"/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>
        <w:t xml:space="preserve"> о налогах и сборах.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Участник конкурсного отбора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комиссии.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</w:t>
      </w:r>
      <w:proofErr w:type="gramStart"/>
      <w:r>
        <w:t>на запрос о разъяснении положений объявления о проведении конкурсного отбора в течение трех рабочих дней со дня</w:t>
      </w:r>
      <w:proofErr w:type="gramEnd"/>
      <w:r>
        <w:t xml:space="preserve"> поступления запроса (запрос должен содержать адрес электронной почты отправителя).</w:t>
      </w:r>
    </w:p>
    <w:p w:rsidR="00625677" w:rsidRDefault="00625677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2.8. Конкурсный отбор проводится комиссией не позднее 15 рабочих дней </w:t>
      </w:r>
      <w:proofErr w:type="gramStart"/>
      <w:r>
        <w:t>с даты окончания</w:t>
      </w:r>
      <w:proofErr w:type="gramEnd"/>
      <w:r>
        <w:t xml:space="preserve"> приема заявок. Порядок работы и состав комиссии утверждаются правовыми актами комитета.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674">
        <w:r>
          <w:rPr>
            <w:color w:val="0000FF"/>
          </w:rPr>
          <w:t>пунктами 2.11</w:t>
        </w:r>
      </w:hyperlink>
      <w:r>
        <w:t xml:space="preserve"> и </w:t>
      </w:r>
      <w:hyperlink w:anchor="P1679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</w:t>
      </w:r>
      <w:r>
        <w:lastRenderedPageBreak/>
        <w:t xml:space="preserve">системе в соответствии с критериями, указанными в </w:t>
      </w:r>
      <w:hyperlink w:anchor="P1549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625677" w:rsidRDefault="006256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3912"/>
      </w:tblGrid>
      <w:tr w:rsidR="00625677">
        <w:tc>
          <w:tcPr>
            <w:tcW w:w="510" w:type="dxa"/>
          </w:tcPr>
          <w:p w:rsidR="00625677" w:rsidRDefault="006256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625677" w:rsidRDefault="0062567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25677">
        <w:tc>
          <w:tcPr>
            <w:tcW w:w="510" w:type="dxa"/>
          </w:tcPr>
          <w:p w:rsidR="00625677" w:rsidRDefault="00625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625677" w:rsidRDefault="00625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  <w:jc w:val="center"/>
            </w:pPr>
            <w:r>
              <w:t>3</w:t>
            </w:r>
          </w:p>
        </w:tc>
      </w:tr>
      <w:tr w:rsidR="00625677">
        <w:tc>
          <w:tcPr>
            <w:tcW w:w="510" w:type="dxa"/>
          </w:tcPr>
          <w:p w:rsidR="00625677" w:rsidRDefault="00625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625677" w:rsidRDefault="00625677">
            <w:pPr>
              <w:pStyle w:val="ConsPlusNormal"/>
            </w:pPr>
            <w: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Соответствует - 20 баллов,</w:t>
            </w:r>
          </w:p>
          <w:p w:rsidR="00625677" w:rsidRDefault="00625677">
            <w:pPr>
              <w:pStyle w:val="ConsPlusNormal"/>
            </w:pPr>
            <w:r>
              <w:t>не соответствует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Охват школьников и учащихся мероприятиями, проводимыми в рамках проекта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Более 3000 чел. - 20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от 1500 до 3000 чел. - 10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от 500 до 1499 чел. - 5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менее 500 чел.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Количество туристских маршрутов, реализуемых в рамках проекта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Более 6 маршрутов - 15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от 2 до 5 маршрутов - 10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менее 2 маршрутов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Охват школьников и учащихся с ограниченными возможностями здоровья мероприятиями, проводимыми в рамках проекта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Предусматривается - 15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не предусматривается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4 и более проектов - 15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1-3 проекта - 10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0 проектов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Более 40000 чел. - 10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10000 - 40000 чел. - 5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менее 10000 чел. - 0 баллов</w:t>
            </w:r>
          </w:p>
        </w:tc>
      </w:tr>
      <w:tr w:rsidR="00625677">
        <w:tc>
          <w:tcPr>
            <w:tcW w:w="510" w:type="dxa"/>
            <w:vMerge w:val="restart"/>
          </w:tcPr>
          <w:p w:rsidR="00625677" w:rsidRDefault="006256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625677" w:rsidRDefault="00625677">
            <w:pPr>
              <w:pStyle w:val="ConsPlusNormal"/>
            </w:pPr>
            <w: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40 и более субъектов Российской Федерации - 5 баллов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1-39 субъектов Российской Федерации - 3 балла</w:t>
            </w:r>
          </w:p>
        </w:tc>
      </w:tr>
      <w:tr w:rsidR="00625677">
        <w:tc>
          <w:tcPr>
            <w:tcW w:w="510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4649" w:type="dxa"/>
            <w:vMerge/>
          </w:tcPr>
          <w:p w:rsidR="00625677" w:rsidRDefault="00625677">
            <w:pPr>
              <w:pStyle w:val="ConsPlusNormal"/>
            </w:pPr>
          </w:p>
        </w:tc>
        <w:tc>
          <w:tcPr>
            <w:tcW w:w="3912" w:type="dxa"/>
          </w:tcPr>
          <w:p w:rsidR="00625677" w:rsidRDefault="00625677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</w:tbl>
    <w:p w:rsidR="00625677" w:rsidRDefault="00625677">
      <w:pPr>
        <w:pStyle w:val="ConsPlusNormal"/>
      </w:pPr>
    </w:p>
    <w:p w:rsidR="00625677" w:rsidRDefault="00625677">
      <w:pPr>
        <w:pStyle w:val="ConsPlusNormal"/>
        <w:ind w:firstLine="540"/>
        <w:jc w:val="both"/>
      </w:pPr>
      <w:bookmarkStart w:id="9" w:name="P1674"/>
      <w:bookmarkEnd w:id="9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563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lastRenderedPageBreak/>
        <w:t xml:space="preserve">б) несоответствие представленных участником конкурсного отбора документов требованиям, установленным </w:t>
      </w:r>
      <w:hyperlink w:anchor="P1605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</w:t>
      </w:r>
      <w:proofErr w:type="gramStart"/>
      <w:r>
        <w:t>и(</w:t>
      </w:r>
      <w:proofErr w:type="gramEnd"/>
      <w:r>
        <w:t xml:space="preserve">или) времени, определенных в соответствии с </w:t>
      </w:r>
      <w:hyperlink w:anchor="P158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10" w:name="P1679"/>
      <w:bookmarkEnd w:id="10"/>
      <w:r>
        <w:t>2.12. Основаниями для отказа получателю субсидии в предоставлении субсидии являются: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565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2.14. Результаты рассмотрения комиссией заявок оформляются протоколом, который подписывается всеми членами комиссии не позднее трех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</w:t>
      </w:r>
      <w:proofErr w:type="gramStart"/>
      <w:r>
        <w:t>с даты</w:t>
      </w:r>
      <w:proofErr w:type="gramEnd"/>
      <w:r>
        <w:t xml:space="preserve"> его подписания.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</w:t>
      </w:r>
      <w:proofErr w:type="gramStart"/>
      <w:r>
        <w:t>с даты оформления</w:t>
      </w:r>
      <w:proofErr w:type="gramEnd"/>
      <w:r>
        <w:t xml:space="preserve"> протокола комиссии.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Комитет в срок не позднее трех рабочих дней </w:t>
      </w:r>
      <w:proofErr w:type="gramStart"/>
      <w:r>
        <w:t>с даты издания</w:t>
      </w:r>
      <w:proofErr w:type="gramEnd"/>
      <w:r>
        <w:t xml:space="preserve">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lastRenderedPageBreak/>
        <w:t>наименование получателя субсидии, с которым заключается соглашение, и размер предоставляемой ему субсидии.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2.16. В течение трех рабочих дней </w:t>
      </w:r>
      <w:proofErr w:type="gramStart"/>
      <w:r>
        <w:t>с даты принятия</w:t>
      </w:r>
      <w:proofErr w:type="gramEnd"/>
      <w:r>
        <w:t xml:space="preserve">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</w:t>
      </w:r>
      <w:proofErr w:type="gramStart"/>
      <w:r>
        <w:t>с даты принятия</w:t>
      </w:r>
      <w:proofErr w:type="gramEnd"/>
      <w:r>
        <w:t xml:space="preserve"> распоряжения.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2.19.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Ленинградской области на соответствующий финансовый год.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2.20. Соглашение с победителем конкурсного отбора заключается не позднее 10 рабочих дней </w:t>
      </w:r>
      <w:proofErr w:type="gramStart"/>
      <w:r>
        <w:t>с даты издания</w:t>
      </w:r>
      <w:proofErr w:type="gramEnd"/>
      <w:r>
        <w:t xml:space="preserve"> распоряжения. В случае отказа получателя субсидии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2.21.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545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</w:t>
      </w:r>
      <w:proofErr w:type="spellStart"/>
      <w:r>
        <w:t>недостижения</w:t>
      </w:r>
      <w:proofErr w:type="spellEnd"/>
      <w:r>
        <w:t xml:space="preserve"> согласия по новым условиям соглашение подлежит расторжению.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11" w:name="P1700"/>
      <w:bookmarkEnd w:id="11"/>
      <w:r>
        <w:t>2.22. Планируемым результатом предоставления субсидии являются реализованные мероприятия проекта.</w:t>
      </w:r>
    </w:p>
    <w:p w:rsidR="00625677" w:rsidRDefault="00625677">
      <w:pPr>
        <w:pStyle w:val="ConsPlusNormal"/>
        <w:jc w:val="both"/>
      </w:pPr>
      <w:r>
        <w:t xml:space="preserve">(п. 2.22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12" w:name="P1702"/>
      <w:bookmarkEnd w:id="12"/>
      <w:r>
        <w:t>2.23. 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2.24.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2.25. Перечисление субсидии осуществляется Комитетом финансов Ленинградской области </w:t>
      </w:r>
      <w:r>
        <w:lastRenderedPageBreak/>
        <w:t xml:space="preserve">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625677" w:rsidRDefault="00625677">
      <w:pPr>
        <w:pStyle w:val="ConsPlusTitle"/>
        <w:jc w:val="center"/>
        <w:outlineLvl w:val="2"/>
      </w:pPr>
      <w:r>
        <w:t>3. Требования к отчетности</w:t>
      </w:r>
    </w:p>
    <w:p w:rsidR="00625677" w:rsidRDefault="00625677">
      <w:pPr>
        <w:pStyle w:val="ConsPlusNormal"/>
        <w:jc w:val="center"/>
      </w:pPr>
    </w:p>
    <w:p w:rsidR="00625677" w:rsidRDefault="0062567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Получатель субсидии ежеквартально не позднее 5-го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700">
        <w:r>
          <w:rPr>
            <w:color w:val="0000FF"/>
          </w:rPr>
          <w:t>пунктами 2.22</w:t>
        </w:r>
      </w:hyperlink>
      <w:r>
        <w:t xml:space="preserve"> и </w:t>
      </w:r>
      <w:hyperlink w:anchor="P1702">
        <w:r>
          <w:rPr>
            <w:color w:val="0000FF"/>
          </w:rPr>
          <w:t>2.23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</w:t>
      </w:r>
      <w:proofErr w:type="gramEnd"/>
      <w:r>
        <w:t>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625677" w:rsidRDefault="00625677">
      <w:pPr>
        <w:pStyle w:val="ConsPlusNormal"/>
        <w:jc w:val="center"/>
      </w:pPr>
    </w:p>
    <w:p w:rsidR="00625677" w:rsidRDefault="00625677">
      <w:pPr>
        <w:pStyle w:val="ConsPlusTitle"/>
        <w:jc w:val="center"/>
        <w:outlineLvl w:val="2"/>
      </w:pPr>
      <w:r>
        <w:t>4. Требования об осуществлении контроля (мониторинга)</w:t>
      </w:r>
    </w:p>
    <w:p w:rsidR="00625677" w:rsidRDefault="00625677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625677" w:rsidRDefault="00625677">
      <w:pPr>
        <w:pStyle w:val="ConsPlusTitle"/>
        <w:jc w:val="center"/>
      </w:pPr>
      <w:r>
        <w:t>и ответственность за их нарушение</w:t>
      </w:r>
    </w:p>
    <w:p w:rsidR="00625677" w:rsidRDefault="00625677">
      <w:pPr>
        <w:pStyle w:val="ConsPlusNormal"/>
        <w:jc w:val="center"/>
      </w:pPr>
      <w:proofErr w:type="gramStart"/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25677" w:rsidRDefault="00625677">
      <w:pPr>
        <w:pStyle w:val="ConsPlusNormal"/>
        <w:jc w:val="center"/>
      </w:pPr>
      <w:r>
        <w:t>от 30.12.2022 N 1013)</w:t>
      </w:r>
    </w:p>
    <w:p w:rsidR="00625677" w:rsidRDefault="00625677">
      <w:pPr>
        <w:pStyle w:val="ConsPlusNormal"/>
        <w:jc w:val="center"/>
      </w:pPr>
    </w:p>
    <w:p w:rsidR="00625677" w:rsidRDefault="00625677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Ленинградской области осуществляется проверка в соответствии со </w:t>
      </w:r>
      <w:hyperlink r:id="rId13">
        <w:r>
          <w:rPr>
            <w:color w:val="0000FF"/>
          </w:rPr>
          <w:t>статьями 268.1</w:t>
        </w:r>
      </w:hyperlink>
      <w:r>
        <w:t xml:space="preserve"> и </w:t>
      </w:r>
      <w:hyperlink r:id="rId1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25677" w:rsidRDefault="006256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spacing w:before="220"/>
        <w:ind w:firstLine="540"/>
        <w:jc w:val="both"/>
      </w:pPr>
      <w:bookmarkStart w:id="13" w:name="P1720"/>
      <w:bookmarkEnd w:id="13"/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фактов нарушения получателем субсидий порядка и условий предоставления субсидий, а также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субсидии и показателей, установленных </w:t>
      </w:r>
      <w:hyperlink w:anchor="P1700">
        <w:r>
          <w:rPr>
            <w:color w:val="0000FF"/>
          </w:rPr>
          <w:t>пунктами 2.22</w:t>
        </w:r>
      </w:hyperlink>
      <w:r>
        <w:t xml:space="preserve"> и </w:t>
      </w:r>
      <w:hyperlink w:anchor="P1702">
        <w:r>
          <w:rPr>
            <w:color w:val="0000FF"/>
          </w:rPr>
          <w:t>2.23</w:t>
        </w:r>
      </w:hyperlink>
      <w:r>
        <w:t xml:space="preserve"> настоящего Порядка, соответствующие средства субсидии подлежат возврату в доход областного бюджета Ленинградской области: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- в течение 10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б) на основании представления </w:t>
      </w:r>
      <w:proofErr w:type="gramStart"/>
      <w:r>
        <w:t>и(</w:t>
      </w:r>
      <w:proofErr w:type="gramEnd"/>
      <w:r>
        <w:t>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625677" w:rsidRDefault="00625677">
      <w:pPr>
        <w:pStyle w:val="ConsPlusNormal"/>
        <w:jc w:val="both"/>
      </w:pPr>
      <w:r>
        <w:t xml:space="preserve">(п. 4.2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spellStart"/>
      <w:r>
        <w:t>неперечисления</w:t>
      </w:r>
      <w:proofErr w:type="spellEnd"/>
      <w:r>
        <w:t xml:space="preserve"> получателем субсидии средств субсидии в областной бюджет Ленинградской области в сроки, установленные </w:t>
      </w:r>
      <w:hyperlink w:anchor="P1720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625677" w:rsidRDefault="00625677">
      <w:pPr>
        <w:pStyle w:val="ConsPlusNormal"/>
        <w:spacing w:before="220"/>
        <w:ind w:firstLine="540"/>
        <w:jc w:val="both"/>
      </w:pPr>
      <w:r>
        <w:t xml:space="preserve">4.5.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>
        <w:lastRenderedPageBreak/>
        <w:t>(контрольная точка), в порядке и по формам, установленным Министерством финансов Российской Федерации.</w:t>
      </w:r>
    </w:p>
    <w:p w:rsidR="007E655A" w:rsidRDefault="00625677" w:rsidP="00204066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sectPr w:rsidR="007E655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7"/>
    <w:rsid w:val="00204066"/>
    <w:rsid w:val="00464C7C"/>
    <w:rsid w:val="00625677"/>
    <w:rsid w:val="007E655A"/>
    <w:rsid w:val="008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5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25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5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5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5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5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25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5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5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5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5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28B2577B92DD9C75158FAE1622C28F5ABED304AA50DEF477904F4CA5BFECB2368FD09094BEBR4h9L" TargetMode="External"/><Relationship Id="rId13" Type="http://schemas.openxmlformats.org/officeDocument/2006/relationships/hyperlink" Target="consultantplus://offline/ref=5CDCFB252F1665AE35949650A21021C7628B2577B92DD9C75158FAE1622C28F5ABED304AA50FE9477904F4CA5BFECB2368FD09094BEBR4h9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CFB252F1665AE35949650A21021C7628B2577B92DD9C75158FAE1622C28F5ABED304AA50FE9477904F4CA5BFECB2368FD09094BEBR4h9L" TargetMode="External"/><Relationship Id="rId12" Type="http://schemas.openxmlformats.org/officeDocument/2006/relationships/hyperlink" Target="consultantplus://offline/ref=5CDCFB252F1665AE35948941B71021C7648D2070B72CD9C75158FAE1622C28F5ABED3048A20FE84B2A5EE4CE12A9C13F6FE2170A55EB4A78REhAL" TargetMode="External"/><Relationship Id="rId17" Type="http://schemas.openxmlformats.org/officeDocument/2006/relationships/hyperlink" Target="consultantplus://offline/ref=5CDCFB252F1665AE35948941B71021C7648D2070B72CD9C75158FAE1622C28F5ABED3048A20FE8442E5EE4CE12A9C13F6FE2170A55EB4A78REh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DCFB252F1665AE35948941B71021C7648D2070B72CD9C75158FAE1622C28F5ABED3048A20FE8442D5EE4CE12A9C13F6FE2170A55EB4A78RE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FB252F1665AE35948941B71021C7648D2070B72CD9C75158FAE1622C28F5ABED3048A20FE84A245EE4CE12A9C13F6FE2170A55EB4A78REhAL" TargetMode="External"/><Relationship Id="rId11" Type="http://schemas.openxmlformats.org/officeDocument/2006/relationships/hyperlink" Target="consultantplus://offline/ref=5CDCFB252F1665AE35948941B71021C7648D2070B72CD9C75158FAE1622C28F5ABED3048A20FE84B285EE4CE12A9C13F6FE2170A55EB4A78REhAL" TargetMode="External"/><Relationship Id="rId5" Type="http://schemas.openxmlformats.org/officeDocument/2006/relationships/hyperlink" Target="consultantplus://offline/ref=5CDCFB252F1665AE35948941B71021C7648D2070B72CD9C75158FAE1622C28F5ABED3048A20FE84A255EE4CE12A9C13F6FE2170A55EB4A78REhAL" TargetMode="External"/><Relationship Id="rId15" Type="http://schemas.openxmlformats.org/officeDocument/2006/relationships/hyperlink" Target="consultantplus://offline/ref=5CDCFB252F1665AE35948941B71021C7648D2070B72CD9C75158FAE1622C28F5ABED3048A20FE84B245EE4CE12A9C13F6FE2170A55EB4A78REhAL" TargetMode="External"/><Relationship Id="rId10" Type="http://schemas.openxmlformats.org/officeDocument/2006/relationships/hyperlink" Target="consultantplus://offline/ref=5CDCFB252F1665AE35948941B71021C7648D2070B72CD9C75158FAE1622C28F5ABED3048A20FE84B2E5EE4CE12A9C13F6FE2170A55EB4A78REh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CFB252F1665AE35948941B71021C7648D2070B72CD9C75158FAE1622C28F5ABED3048A20FE84B2C5EE4CE12A9C13F6FE2170A55EB4A78REhAL" TargetMode="External"/><Relationship Id="rId14" Type="http://schemas.openxmlformats.org/officeDocument/2006/relationships/hyperlink" Target="consultantplus://offline/ref=5CDCFB252F1665AE35949650A21021C7628B2577B92DD9C75158FAE1622C28F5ABED304AA50DEF477904F4CA5BFECB2368FD09094BEBR4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Максимовна Боровикова</dc:creator>
  <cp:lastModifiedBy>Анна Сергеевна Трифонова</cp:lastModifiedBy>
  <cp:revision>3</cp:revision>
  <cp:lastPrinted>2023-01-27T11:33:00Z</cp:lastPrinted>
  <dcterms:created xsi:type="dcterms:W3CDTF">2023-01-27T12:14:00Z</dcterms:created>
  <dcterms:modified xsi:type="dcterms:W3CDTF">2023-01-27T13:00:00Z</dcterms:modified>
</cp:coreProperties>
</file>