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8D" w:rsidRPr="00A64C8D" w:rsidRDefault="00A64C8D" w:rsidP="00A64C8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A64C8D" w:rsidRDefault="00A64C8D" w:rsidP="00A64C8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</w:p>
    <w:p w:rsidR="00A64C8D" w:rsidRPr="00A64C8D" w:rsidRDefault="00A64C8D" w:rsidP="00A64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4C8D">
        <w:rPr>
          <w:rFonts w:ascii="Times New Roman" w:eastAsia="Calibri" w:hAnsi="Times New Roman" w:cs="Times New Roman"/>
          <w:sz w:val="28"/>
          <w:szCs w:val="28"/>
        </w:rPr>
        <w:t xml:space="preserve">«Развитие </w:t>
      </w:r>
      <w:proofErr w:type="gramStart"/>
      <w:r w:rsidRPr="00A64C8D">
        <w:rPr>
          <w:rFonts w:ascii="Times New Roman" w:eastAsia="Calibri" w:hAnsi="Times New Roman" w:cs="Times New Roman"/>
          <w:sz w:val="28"/>
          <w:szCs w:val="28"/>
        </w:rPr>
        <w:t>внутреннего</w:t>
      </w:r>
      <w:proofErr w:type="gramEnd"/>
      <w:r w:rsidRPr="00A64C8D">
        <w:rPr>
          <w:rFonts w:ascii="Times New Roman" w:eastAsia="Calibri" w:hAnsi="Times New Roman" w:cs="Times New Roman"/>
          <w:sz w:val="28"/>
          <w:szCs w:val="28"/>
        </w:rPr>
        <w:t xml:space="preserve"> и въездного </w:t>
      </w:r>
    </w:p>
    <w:p w:rsidR="00A64C8D" w:rsidRPr="00A64C8D" w:rsidRDefault="00A64C8D" w:rsidP="00A64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4C8D">
        <w:rPr>
          <w:rFonts w:ascii="Times New Roman" w:eastAsia="Calibri" w:hAnsi="Times New Roman" w:cs="Times New Roman"/>
          <w:sz w:val="28"/>
          <w:szCs w:val="28"/>
        </w:rPr>
        <w:t>туризма в Ленинградской области»</w:t>
      </w:r>
    </w:p>
    <w:p w:rsidR="00A64C8D" w:rsidRPr="00A64C8D" w:rsidRDefault="00A64C8D" w:rsidP="00A64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(утвержде</w:t>
      </w:r>
      <w:bookmarkStart w:id="0" w:name="_GoBack"/>
      <w:bookmarkEnd w:id="0"/>
      <w:r w:rsidRPr="00A64C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но постановлением </w:t>
      </w:r>
      <w:proofErr w:type="gramEnd"/>
    </w:p>
    <w:p w:rsidR="00A64C8D" w:rsidRPr="00A64C8D" w:rsidRDefault="00A64C8D" w:rsidP="00A64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64C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Правительства Ленинградской области </w:t>
      </w:r>
    </w:p>
    <w:p w:rsidR="00A64C8D" w:rsidRPr="00A64C8D" w:rsidRDefault="00A64C8D" w:rsidP="00A64C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4C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 30 сентября 2019 года № 442</w:t>
      </w:r>
      <w:r w:rsidRPr="00A64C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C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(с изменениями)</w:t>
      </w:r>
    </w:p>
    <w:p w:rsidR="00A64C8D" w:rsidRDefault="00A64C8D" w:rsidP="00A64C8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8D" w:rsidRPr="00A64C8D" w:rsidRDefault="00A64C8D" w:rsidP="00A64C8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цели, условия и порядок предоставления и распределения субсидий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областного бюджета Ленинградской области бюджетам муниципальных образований Ленинградской области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муниципальные образования) на реализацию мероприятий по созданию и развитию инфраструктуры активных видов туризма на территории муниципальных образований в рамках </w:t>
      </w:r>
      <w:hyperlink r:id="rId5" w:history="1">
        <w:r w:rsidRPr="00A64C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подпрограммы</w:t>
        </w:r>
      </w:hyperlink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"Формирование комфортной туристской среды" государственной программы Ленинградской области "Развитие внутреннего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въездного туризма в Ленинградской области" (далее – субсидии</w:t>
      </w:r>
      <w:proofErr w:type="gram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настоящего Порядка под активными видами туризма понимается велотуризм – путешествия, походы и экскурсии, включающие прохождение маршрутов по равнинной и горной местностям на соответствующих средствах передвижения – велосипедах (ГОСТ </w:t>
      </w:r>
      <w:proofErr w:type="gram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54601-2011 Туристские услуги. Безопасность активных видов туризма. </w:t>
      </w:r>
      <w:proofErr w:type="gram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положения). </w:t>
      </w:r>
      <w:proofErr w:type="gramEnd"/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бюджетных обязательств, предусмотренных в установленном порядке главному распорядителю бюджетных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 – комитету по культуре и туризму Ленинградской области (далее – комитет).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на </w:t>
      </w:r>
      <w:proofErr w:type="spell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поселений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городского округа, по вопросам местного значения – организации благоустройства территорий поселений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городского округа в соответствии с утвержденными правилами благоустройства территории согласно </w:t>
      </w:r>
      <w:hyperlink r:id="rId6" w:history="1">
        <w:r w:rsidRPr="00A64C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пункту 19 части 1 статьи 14</w:t>
        </w:r>
      </w:hyperlink>
      <w:r w:rsidRPr="00A6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" w:history="1">
        <w:r w:rsidRPr="00A64C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пункту 25 части 1 статьи 16</w:t>
        </w:r>
      </w:hyperlink>
      <w:r w:rsidRPr="00A6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6 октября 2003 года № 131-ФЗ "Об общих</w:t>
      </w:r>
      <w:proofErr w:type="gramEnd"/>
      <w:r w:rsidRPr="00A6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proofErr w:type="gramEnd"/>
      <w:r w:rsidRPr="00A6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местного самоуправления в Российской Федерации".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условия предоставления субсидий, критерии отбора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для предоставления субсидий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Субсидии предоставляются бюджетам муниципальных образований </w:t>
      </w:r>
      <w:r w:rsidRPr="00A6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поддержки проектов, направленных на формирование комфортной туристской среды и развитие туристско-рекреационного комплекса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Результатом использования субсидии является количество реализованных муниципальным образованием проектов по созданию объектов инфраструктуры активных видов туризма в Ленинградской области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проекты)</w:t>
      </w:r>
      <w:bookmarkStart w:id="1" w:name="P55"/>
      <w:bookmarkEnd w:id="1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субсидии, заключаемым между комитетом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муниципальным образованием (далее – соглашение), оформляемым в соответствии с пунктом 4.2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№ 257 (далее – Правила).</w:t>
      </w:r>
      <w:proofErr w:type="gramEnd"/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Условиями предоставления субсидии являются условия, указанные в пункте 2.7 Правил. 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Критерии, которым должны соответствовать муниципальные образования для допуска к оценке заявок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предоставление субсидии (далее – заявка):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 муниципальном образовании утвержденной муниципальной программы (плана мероприятий, мероприятия), соответствующей цели, указанной в пункте 2.1 настоящего Порядка;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обязательств муниципального образования, в целях </w:t>
      </w:r>
      <w:proofErr w:type="spell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предоставляется субсидия,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подписью главы администрации муниципального образования и руководителя финансового органа;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наличие проекта по созданию и развитию инфраструктуры активных видов туризма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Ленинградской области, содержащего информацию согласно подпунктам "г" и "д" пункта 3.4 настоящего Порядка.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муниципальное образование не соответствует критериям, указанным в настоящем пункте, муниципальное образование не допускается к оценке заявок.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1"/>
      <w:bookmarkEnd w:id="2"/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отбора муниципальных образований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Субсидии предоставляются по результатам проводимого отбора муниципальных образований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основе оценки заявок муниципальных образований (далее – конкурсный отбор), допущенных к оценке заявок. </w:t>
      </w:r>
      <w:bookmarkStart w:id="3" w:name="P83"/>
      <w:bookmarkEnd w:id="3"/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к оценке заявок и конкурсный отбор осуществляется конкурсной комиссией по проведению конкурсного отбора (далее – конкурсная комиссия), формируемой комитетом путем утверждения ее состава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положения о ее деятельности.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Решение о проведении конкурсного отбора принимается комитетом и оформляется распоряжением комитета, в котором указываются сроки, место, </w:t>
      </w:r>
      <w:r w:rsidRPr="00A64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даты и время начала (окончания) подачи (приема) заявок </w:t>
      </w:r>
      <w:r w:rsidRPr="00A64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конкурсный отбор.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заявок не может быть менее 10 и более 30 календарных дней </w:t>
      </w:r>
      <w:proofErr w:type="gram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проведении конкурсного отбора.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в информационно-телекоммуникационной сети "Интернет" информации с указанием сроков начала и окончания приема заявок, установленных в решении о проведении конкурсного отбора.</w:t>
      </w:r>
      <w:proofErr w:type="gramEnd"/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bookmarkStart w:id="4" w:name="P85"/>
      <w:bookmarkEnd w:id="4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конкурсном отборе муниципальные образования представляют в комитет заявки, включающие следующие документы: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на предоставление субсидии по форме, утвержденной правовым актом комитета; 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выписку из утвержденной муниципальной программы (плана мероприятий, мероприятия), соответствующей цели, указанной в пункте 2.1 настоящего Порядка;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выписку из решения о бюджете муниципального образования на соответствующий финансовый год, подтверждающую наличие бюджетных ассигнований бюджета муниципального образования на реализацию мероприятий проекта, в целях </w:t>
      </w:r>
      <w:proofErr w:type="spell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предоставляется субсидия, в объеме, необходимом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обеспечения доли финансирования со стороны муниципального образования, или справку о размере средств, планируемых к выделению из бюджета муниципального образования на исполнение расходных обязательств муниципального образования;</w:t>
      </w:r>
      <w:proofErr w:type="gramEnd"/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проект по созданию и развитию инфраструктуры активных видов туризма в Ленинградской области, содержащий текстовое и визуальное описание существующего состояния территорий, схему планируемого размещения объектов с условными обозначениями, описание планируемых мероприятий по обустройству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маркировке маршрутов, по размещению информации о созданных маршрутах на картографических сервисах,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информацию о возможности интеграции объектов инфраструктуры в существующую сеть </w:t>
      </w:r>
      <w:proofErr w:type="spell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межпоселенческих</w:t>
      </w:r>
      <w:proofErr w:type="spell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/межрегиональных/международных маршрутов;</w:t>
      </w:r>
      <w:proofErr w:type="gramEnd"/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сметный расчет, результаты экспертизы сметной документации.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представленных документов несут администрации муниципальных образований.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Поступающие заявки регистрируются в соответствующем журнале в день поступления в комитет </w:t>
      </w:r>
      <w:r w:rsidRPr="00A6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передаются на рассмотрение конкурсной комиссии.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образования имеют право отозвать заявку путем письменного уведомления комитета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gram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рабочих дня до даты заседания конкурсной комиссии.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Рассмотрение заявок (допуск к оценке заявок и конкурсный отбор) осуществляется в течение 15 дней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заявок, указанной в информации в соответствии с пунктом 3.2 настоящего Порядка.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К конкурсному отбору допускаются заявки при отсутствии оснований для отказа в предоставлении субсидий, предусмотренных подпунктами "а" – "г" пункта 3.9 настоящего Порядка.</w:t>
      </w:r>
      <w:r w:rsidRPr="00A64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Конкурсный отбор осуществляется конкурсной комиссией путем оценки заявок </w:t>
      </w:r>
      <w:proofErr w:type="gram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критериями </w:t>
      </w:r>
      <w:r w:rsidRPr="00A64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заявок муниципальных образований по бальной системе с учетом удельного веса каждого критерия </w:t>
      </w:r>
      <w:r w:rsidRPr="00A64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для получения</w:t>
      </w:r>
      <w:proofErr w:type="gramEnd"/>
      <w:r w:rsidRPr="00A64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сводной оценки заявки муниципального образования согласно приложению к настоящему Порядку </w:t>
      </w:r>
      <w:r w:rsidRPr="00A64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по установленной в нем балльной системе.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оценки используется шкала оценки от 0 до 5, где 5 – самая высокая оценка, 0 – самая низкая оценка.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Итоговая оценка заявок определяется как сумма баллов, полученных по каждому из критериев с учетом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удельного веса.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На основании результатов оценки заявок по балльной системе конкурсная комиссия принимает решение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признании муниципальных образований, набравших максимальное количество баллов, победителями конкурсного отбора и оформляет указанное решение протоколом, который подписывается всеми членами конкурсной комиссии не позднее трех рабочих дней </w:t>
      </w:r>
      <w:proofErr w:type="gram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конкурсной комиссии.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протоколе указываются перечень муниципальных образований, признанных получателями субсидий, и размер предоставляемых им субсидий. 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признаются муниципальные образования, заявки которых набрали наибольшее количество баллов. Заявки, набравшие одинаковое количество баллов, ранжируются по дате подачи заявки – </w:t>
      </w:r>
      <w:proofErr w:type="gram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ранней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более поздней.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победителей определяется исходя из объема бюджетных ассигнований, предусмотренных комитету на </w:t>
      </w:r>
      <w:proofErr w:type="spell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расходных обязательств.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Основаниями для отказа в предоставлении субсидии являются: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несоответствие муниципального образования критериям, установленным пунктом 2.4 настоящего Порядка;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92"/>
      <w:bookmarkEnd w:id="5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непредставление (представление не в полном объеме) документов, указанных в пункте 3.3 настоящего Порядка;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недостоверность представленной информации;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96"/>
      <w:bookmarkEnd w:id="6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документов с нарушением срока, установленного в соответствии с </w:t>
      </w:r>
      <w:hyperlink w:anchor="P83" w:history="1">
        <w:r w:rsidRPr="00A64C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3.2</w:t>
        </w:r>
      </w:hyperlink>
      <w:r w:rsidRPr="00A6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Порядка.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отсутствие факта признания победителем конкурсного отбора в соответствии с пунктом 3.8 настоящего Порядка.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98"/>
      <w:bookmarkEnd w:id="7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Комитет в течение пяти рабочих дней после оформления протокола информирует участников конкурсного отбора о результатах рассмотрения заявок путем размещения информации на официальном сайте комитета в информационно-телекоммуникационной сети "Интернет".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При наличии оснований для отказа в предоставлении субсидии, предусмотренных пунктом 3.9 настоящего Порядка, комитет уведомляет муниципальное образование об отказе в предоставлении субсидии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трех рабочих дней после оформления протокола, указанного в </w:t>
      </w:r>
      <w:hyperlink w:anchor="P98" w:history="1">
        <w:r w:rsidRPr="00A64C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</w:hyperlink>
      <w:r w:rsidRPr="00A6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3.8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02"/>
      <w:bookmarkEnd w:id="8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Методика распределения субсидий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4.1.Распределение субсидий между муниципальными образованиями осуществляется исходя из заявок муниципальных образований.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Общий объем субсидий бюджету </w:t>
      </w:r>
      <w:proofErr w:type="spellStart"/>
      <w:r w:rsidRPr="00A64C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муниципального образования определяется по следующей формуле: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ЗСi</w:t>
      </w:r>
      <w:proofErr w:type="spell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УС</w:t>
      </w:r>
      <w:proofErr w:type="spellStart"/>
      <w:r w:rsidRPr="00A64C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субсидий бюджету i-</w:t>
      </w:r>
      <w:proofErr w:type="spell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ЗС</w:t>
      </w:r>
      <w:proofErr w:type="gram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плановый общий объем расходов на исполнение </w:t>
      </w:r>
      <w:proofErr w:type="spell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софинансируемых</w:t>
      </w:r>
      <w:proofErr w:type="spell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в соответствии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заявкой (заявками) i-</w:t>
      </w:r>
      <w:proofErr w:type="spell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для предоставления субсидий;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proofErr w:type="spellStart"/>
      <w:proofErr w:type="gramStart"/>
      <w:r w:rsidRPr="00A64C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предельный уровень </w:t>
      </w:r>
      <w:proofErr w:type="spell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i-</w:t>
      </w:r>
      <w:proofErr w:type="spell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Распределение субсидий утверждается в пределах бюджетных ассигнований, предусмотренных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установленном порядке комитету на очередной финансовый год и на плановый период.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субсидий утверждается областным законом об областном бюджете Ленинградской области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очередной финансовый год и на плановый период.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увеличении ассигнований областного бюджета субсидии распределяются среди муниципальных образований, набравших наибольшее количество баллов, участвовавших в конкурсном отборе, но не признанных победителями в соответствии с пунктом 3.8 настоящего Порядка.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не признанных победителями муниципальных образований и (или) наличия нераспределенных бюджетных ассигнований по основаниям, указанным в подпунктах "а" – "г" настоящего пункта, проводится дополнительный конкурсный отбор муниципальных образований в соответствии с настоящим Порядком.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внесения изменений в утвержденный для муниципального образования объем субсидий могут являться: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распределение объема субсидии, образовавшегося в результате отказа одного или нескольких муниципальных образований от подписания соглашений;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расторжение соглашения;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распределение нераспределенного объема субсидии;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изменение общего объема бюджетных ассигнований областного бюджета, предусмотренного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предоставление субсидии.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предоставления и расходования субсидий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заключается на основании утвержденного распределения субсидий между муниципальными образованиями.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заключаются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</w:t>
      </w:r>
      <w:proofErr w:type="gram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gramStart"/>
      <w:r w:rsidRPr="00A6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при заключении соглашения представляет в комитет 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</w:t>
      </w:r>
      <w:r w:rsidRPr="00A6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целях </w:t>
      </w:r>
      <w:proofErr w:type="spellStart"/>
      <w:r w:rsidRPr="00A6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6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</w:t>
      </w:r>
      <w:proofErr w:type="gramEnd"/>
      <w:r w:rsidRPr="00A6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 субсидии, а также муниципальные программы, предусматривающие мероприятия, на </w:t>
      </w:r>
      <w:proofErr w:type="spellStart"/>
      <w:r w:rsidRPr="00A6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A6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предоставляются субсидии.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субсидий осуществляется комитетом на счета главных администраторов доходов бюджета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муниципальных образований, открытые в территориальных отделах Управления Федерального казначейства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области, в пределах суммы, необходимой для оплаты денежных обязательств по расходам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образования, источником финансового обеспечения которых они являются,</w:t>
      </w:r>
      <w:r w:rsidRPr="00A64C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документов, подтверждающих потребность в оплате денежных обязательств по расходам муниципального образования.</w:t>
      </w:r>
      <w:proofErr w:type="gramEnd"/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подтверждающих потребность в оплате денежных обязательств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перечислении субсидии из областного бюджета Ленинградской области местному бюджету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законодательством Российской Федерации.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Принятие решения о подтверждении потребности в текущем году в остатках субсидии, предоставленной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отчетном году, допускается однократно в течение срока действия соглашения.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 законодательством Российской Федерации.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являются субсидии, осуществляется </w:t>
      </w:r>
      <w:r w:rsidRPr="00A6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законодательством Российской Федерации.</w:t>
      </w: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8D" w:rsidRPr="00A64C8D" w:rsidRDefault="00A64C8D" w:rsidP="00A64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5.10. В случае </w:t>
      </w:r>
      <w:proofErr w:type="spellStart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образованием значений результатов использования субсидии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муниципальному образованию применяются меры ответственности, предусмотренные разделом 5 Правил.</w:t>
      </w:r>
    </w:p>
    <w:p w:rsidR="00A64C8D" w:rsidRPr="00A64C8D" w:rsidRDefault="00A64C8D" w:rsidP="00A64C8D">
      <w:pPr>
        <w:spacing w:after="0" w:line="240" w:lineRule="auto"/>
        <w:ind w:firstLine="1190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64C8D" w:rsidRPr="00A64C8D" w:rsidRDefault="00A64C8D" w:rsidP="00A64C8D">
      <w:pPr>
        <w:spacing w:after="0" w:line="240" w:lineRule="auto"/>
        <w:ind w:firstLine="1190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64C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A64C8D" w:rsidRPr="00A64C8D" w:rsidRDefault="00A64C8D" w:rsidP="00A64C8D">
      <w:pPr>
        <w:spacing w:after="0" w:line="240" w:lineRule="auto"/>
        <w:ind w:firstLine="1190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64C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 Порядку…</w:t>
      </w:r>
    </w:p>
    <w:p w:rsidR="00A64C8D" w:rsidRPr="00A64C8D" w:rsidRDefault="00A64C8D" w:rsidP="00A64C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64C8D" w:rsidRPr="00A64C8D" w:rsidRDefault="00A64C8D" w:rsidP="00A64C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64C8D" w:rsidRPr="00A64C8D" w:rsidRDefault="00A64C8D" w:rsidP="00A64C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64C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Критерии </w:t>
      </w:r>
    </w:p>
    <w:p w:rsidR="00A64C8D" w:rsidRPr="00A64C8D" w:rsidRDefault="00A64C8D" w:rsidP="00A64C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64C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оценки заявок муниципальных образований по бальной системе </w:t>
      </w:r>
    </w:p>
    <w:p w:rsidR="00A64C8D" w:rsidRPr="00A64C8D" w:rsidRDefault="00A64C8D" w:rsidP="00A64C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4C8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 учетом удельного веса каждого критерия</w:t>
      </w:r>
    </w:p>
    <w:p w:rsidR="00A64C8D" w:rsidRPr="00A64C8D" w:rsidRDefault="00A64C8D" w:rsidP="00A64C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179"/>
        <w:gridCol w:w="6259"/>
        <w:gridCol w:w="2062"/>
        <w:gridCol w:w="404"/>
      </w:tblGrid>
      <w:tr w:rsidR="00A64C8D" w:rsidRPr="00A64C8D" w:rsidTr="00B048E2">
        <w:trPr>
          <w:gridAfter w:val="1"/>
          <w:wAfter w:w="404" w:type="dxa"/>
        </w:trPr>
        <w:tc>
          <w:tcPr>
            <w:tcW w:w="719" w:type="dxa"/>
            <w:shd w:val="clear" w:color="auto" w:fill="auto"/>
          </w:tcPr>
          <w:p w:rsidR="00A64C8D" w:rsidRPr="00A64C8D" w:rsidRDefault="00A64C8D" w:rsidP="00A64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79" w:type="dxa"/>
            <w:shd w:val="clear" w:color="auto" w:fill="auto"/>
          </w:tcPr>
          <w:p w:rsidR="00A64C8D" w:rsidRPr="00A64C8D" w:rsidRDefault="00A64C8D" w:rsidP="00A64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Оценочные критерии</w:t>
            </w:r>
          </w:p>
          <w:p w:rsidR="00A64C8D" w:rsidRPr="00A64C8D" w:rsidRDefault="00A64C8D" w:rsidP="00A64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59" w:type="dxa"/>
            <w:shd w:val="clear" w:color="auto" w:fill="auto"/>
          </w:tcPr>
          <w:p w:rsidR="00A64C8D" w:rsidRPr="00A64C8D" w:rsidRDefault="00A64C8D" w:rsidP="00A64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062" w:type="dxa"/>
          </w:tcPr>
          <w:p w:rsidR="00A64C8D" w:rsidRPr="00A64C8D" w:rsidRDefault="00A64C8D" w:rsidP="00A64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A64C8D" w:rsidRPr="00A64C8D" w:rsidTr="00B048E2">
        <w:trPr>
          <w:gridAfter w:val="1"/>
          <w:wAfter w:w="404" w:type="dxa"/>
        </w:trPr>
        <w:tc>
          <w:tcPr>
            <w:tcW w:w="719" w:type="dxa"/>
            <w:shd w:val="clear" w:color="auto" w:fill="auto"/>
          </w:tcPr>
          <w:p w:rsidR="00A64C8D" w:rsidRPr="00A64C8D" w:rsidRDefault="00A64C8D" w:rsidP="00A64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79" w:type="dxa"/>
            <w:shd w:val="clear" w:color="auto" w:fill="auto"/>
          </w:tcPr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обустройству и маркировке маршрутов активных видов туризма </w:t>
            </w: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</w:t>
            </w:r>
            <w:r w:rsidRPr="00A64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Рекомендациями </w:t>
            </w:r>
            <w:r w:rsidRPr="00A64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по маркировке туристских маршрутов, проходящих по территории Ленинградской области с различными активными способами передвижения</w:t>
            </w: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</w:t>
            </w:r>
            <w:r w:rsidRPr="00A64C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обустройству туристских маршрутов, проходящих по территории Ленинградской области</w:t>
            </w:r>
          </w:p>
        </w:tc>
        <w:tc>
          <w:tcPr>
            <w:tcW w:w="6259" w:type="dxa"/>
            <w:shd w:val="clear" w:color="auto" w:fill="auto"/>
          </w:tcPr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1. Количество установленных информационных щитов: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более 2 шт. – 5 баллов; 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 до 2 шт. – 3 балла; 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– 0 баллов.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информационных указателей: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более 7 шт. – 5 баллов;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от 6 до 7 шт. – 3 балла;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от 3 до 5 шт. – 1 балл;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до 3 шт. – 0 баллов.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3. Наличие парковок: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более 2 шт. – 5 баллов;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от 1 до 2 шт. – 3 балла;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– 0 баллов.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4. Пункты общественного питания: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присутствуют – 5 баллов;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– 0 баллов.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5. Зоны отдыха/скамейки: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присутствуют – 5 баллов;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– 0 баллов.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 Протяженность маршрута: 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более 3 км – 5 баллов; 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 до 3 км – 3 балла; 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менее 2 км – 0 баллов</w:t>
            </w:r>
          </w:p>
        </w:tc>
        <w:tc>
          <w:tcPr>
            <w:tcW w:w="2062" w:type="dxa"/>
          </w:tcPr>
          <w:p w:rsidR="00A64C8D" w:rsidRPr="00A64C8D" w:rsidRDefault="00A64C8D" w:rsidP="00A64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A64C8D" w:rsidRPr="00A64C8D" w:rsidTr="00B048E2">
        <w:trPr>
          <w:gridAfter w:val="1"/>
          <w:wAfter w:w="404" w:type="dxa"/>
        </w:trPr>
        <w:tc>
          <w:tcPr>
            <w:tcW w:w="719" w:type="dxa"/>
            <w:shd w:val="clear" w:color="auto" w:fill="auto"/>
          </w:tcPr>
          <w:p w:rsidR="00A64C8D" w:rsidRPr="00A64C8D" w:rsidRDefault="00A64C8D" w:rsidP="00A64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79" w:type="dxa"/>
            <w:shd w:val="clear" w:color="auto" w:fill="auto"/>
          </w:tcPr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Интеграция объектов инфраструктуры активных видов туризма в существующую сеть </w:t>
            </w:r>
            <w:proofErr w:type="spellStart"/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/межрегиональных маршрутов для соответствующих активных видов туризма</w:t>
            </w:r>
          </w:p>
        </w:tc>
        <w:tc>
          <w:tcPr>
            <w:tcW w:w="6259" w:type="dxa"/>
            <w:shd w:val="clear" w:color="auto" w:fill="auto"/>
          </w:tcPr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Интеграция в маршруты (суммарно за каждый </w:t>
            </w: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совокупности):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межрегиональные маршруты – 5 баллов;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межпоселенческие</w:t>
            </w:r>
            <w:proofErr w:type="spellEnd"/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маршруты – 3 балла;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отсутствует – 0 баллов</w:t>
            </w:r>
          </w:p>
        </w:tc>
        <w:tc>
          <w:tcPr>
            <w:tcW w:w="2062" w:type="dxa"/>
          </w:tcPr>
          <w:p w:rsidR="00A64C8D" w:rsidRPr="00A64C8D" w:rsidRDefault="00A64C8D" w:rsidP="00A64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A64C8D" w:rsidRPr="00A64C8D" w:rsidTr="00B048E2">
        <w:tc>
          <w:tcPr>
            <w:tcW w:w="719" w:type="dxa"/>
            <w:shd w:val="clear" w:color="auto" w:fill="auto"/>
          </w:tcPr>
          <w:p w:rsidR="00A64C8D" w:rsidRPr="00A64C8D" w:rsidRDefault="00A64C8D" w:rsidP="00A64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9" w:type="dxa"/>
            <w:shd w:val="clear" w:color="auto" w:fill="auto"/>
          </w:tcPr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размещению информации </w:t>
            </w: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созданных маршрутах на картографических сервисах (maps.me, OpenStreetMap.org, rutrail.org и др.)</w:t>
            </w:r>
          </w:p>
        </w:tc>
        <w:tc>
          <w:tcPr>
            <w:tcW w:w="6259" w:type="dxa"/>
            <w:shd w:val="clear" w:color="auto" w:fill="auto"/>
          </w:tcPr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картографических сервисов, на которых размещена информация о маршрутах: 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более 4 шт. – 5 баллов; 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 до 4 шт. – 3 балла; 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1 шт. – 1 балл;</w:t>
            </w: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– 0 баллов</w:t>
            </w:r>
          </w:p>
        </w:tc>
        <w:tc>
          <w:tcPr>
            <w:tcW w:w="2062" w:type="dxa"/>
            <w:tcBorders>
              <w:right w:val="single" w:sz="4" w:space="0" w:color="auto"/>
            </w:tcBorders>
          </w:tcPr>
          <w:p w:rsidR="00A64C8D" w:rsidRPr="00A64C8D" w:rsidRDefault="00A64C8D" w:rsidP="00A64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C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4C8D" w:rsidRPr="00A64C8D" w:rsidRDefault="00A64C8D" w:rsidP="00A64C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C8D">
              <w:rPr>
                <w:rFonts w:ascii="Times New Roman" w:eastAsia="Calibri" w:hAnsi="Times New Roman" w:cs="Times New Roman"/>
                <w:sz w:val="28"/>
                <w:szCs w:val="28"/>
              </w:rPr>
              <w:t>".</w:t>
            </w:r>
          </w:p>
        </w:tc>
      </w:tr>
    </w:tbl>
    <w:p w:rsidR="00A64C8D" w:rsidRPr="00A64C8D" w:rsidRDefault="00A64C8D" w:rsidP="00A64C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C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4797" w:rsidRDefault="00D44797"/>
    <w:sectPr w:rsidR="00D44797" w:rsidSect="00A64C8D">
      <w:headerReference w:type="default" r:id="rId8"/>
      <w:footerReference w:type="even" r:id="rId9"/>
      <w:pgSz w:w="16838" w:h="11906" w:orient="landscape"/>
      <w:pgMar w:top="1134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BD" w:rsidRDefault="00A64C8D" w:rsidP="006E00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F918BD" w:rsidRDefault="00A64C8D" w:rsidP="006E00E6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BD" w:rsidRPr="00761642" w:rsidRDefault="00A64C8D">
    <w:pPr>
      <w:pStyle w:val="a3"/>
      <w:jc w:val="center"/>
    </w:pPr>
    <w:r w:rsidRPr="00761642">
      <w:fldChar w:fldCharType="begin"/>
    </w:r>
    <w:r w:rsidRPr="00761642">
      <w:instrText>PAGE   \* MERGEFORMAT</w:instrText>
    </w:r>
    <w:r w:rsidRPr="00761642">
      <w:fldChar w:fldCharType="separate"/>
    </w:r>
    <w:r>
      <w:rPr>
        <w:noProof/>
      </w:rPr>
      <w:t>2</w:t>
    </w:r>
    <w:r w:rsidRPr="00761642">
      <w:fldChar w:fldCharType="end"/>
    </w:r>
  </w:p>
  <w:p w:rsidR="00F918BD" w:rsidRDefault="00A64C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8D"/>
    <w:rsid w:val="00A64C8D"/>
    <w:rsid w:val="00D4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4C8D"/>
  </w:style>
  <w:style w:type="paragraph" w:styleId="a5">
    <w:name w:val="footer"/>
    <w:basedOn w:val="a"/>
    <w:link w:val="a6"/>
    <w:uiPriority w:val="99"/>
    <w:rsid w:val="00A64C8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64C8D"/>
    <w:rPr>
      <w:rFonts w:ascii="Times New Roman" w:eastAsia="Calibri" w:hAnsi="Times New Roman" w:cs="Times New Roman"/>
      <w:color w:val="000000"/>
      <w:sz w:val="28"/>
      <w:szCs w:val="28"/>
      <w:lang w:val="x-none" w:eastAsia="x-none"/>
    </w:rPr>
  </w:style>
  <w:style w:type="character" w:styleId="a7">
    <w:name w:val="page number"/>
    <w:basedOn w:val="a0"/>
    <w:rsid w:val="00A64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4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4C8D"/>
  </w:style>
  <w:style w:type="paragraph" w:styleId="a5">
    <w:name w:val="footer"/>
    <w:basedOn w:val="a"/>
    <w:link w:val="a6"/>
    <w:uiPriority w:val="99"/>
    <w:rsid w:val="00A64C8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64C8D"/>
    <w:rPr>
      <w:rFonts w:ascii="Times New Roman" w:eastAsia="Calibri" w:hAnsi="Times New Roman" w:cs="Times New Roman"/>
      <w:color w:val="000000"/>
      <w:sz w:val="28"/>
      <w:szCs w:val="28"/>
      <w:lang w:val="x-none" w:eastAsia="x-none"/>
    </w:rPr>
  </w:style>
  <w:style w:type="character" w:styleId="a7">
    <w:name w:val="page number"/>
    <w:basedOn w:val="a0"/>
    <w:rsid w:val="00A6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AEF3CEC4F468DA8FF9A1574FECCE70D41580BC4D29825CFECB269E40440F03B340764134119C6F7A0C4732505469648CC4DDDAE4801C807BI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EF3CEC4F468DA8FF9A1574FECCE70D41580BC4D29825CFECB269E40440F03B340764134119F65750C4732505469648CC4DDDAE4801C807BI7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93EE602C0B24D61B283828394C41350ABF3656F8D5568774B6ABD1E44C8B09F92E67CFC54116B35BFA538F078F69DC637BB611EA84AA4B1XC21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2021-03-15T10:11:00Z</dcterms:created>
  <dcterms:modified xsi:type="dcterms:W3CDTF">2021-03-15T10:13:00Z</dcterms:modified>
</cp:coreProperties>
</file>