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B8" w:rsidRDefault="003672B8" w:rsidP="003672B8">
      <w:pPr>
        <w:pStyle w:val="ConsPlusNormal"/>
        <w:ind w:firstLine="540"/>
        <w:jc w:val="both"/>
      </w:pPr>
    </w:p>
    <w:p w:rsidR="003672B8" w:rsidRDefault="003672B8" w:rsidP="003672B8">
      <w:pPr>
        <w:pStyle w:val="ConsPlusNormal"/>
        <w:jc w:val="center"/>
      </w:pPr>
      <w:bookmarkStart w:id="0" w:name="P5563"/>
      <w:bookmarkEnd w:id="0"/>
      <w:r>
        <w:t>ПОРЯДОК</w:t>
      </w:r>
    </w:p>
    <w:p w:rsidR="003672B8" w:rsidRDefault="003672B8" w:rsidP="003672B8">
      <w:pPr>
        <w:pStyle w:val="ConsPlusNormal"/>
        <w:jc w:val="center"/>
      </w:pPr>
      <w:r>
        <w:t>ОПРЕДЕЛЕНИЯ ОБЪЕМА И ПРЕДОСТАВЛЕНИЯ ИЗ ОБЛАСТНОГО БЮДЖЕТА</w:t>
      </w:r>
    </w:p>
    <w:p w:rsidR="003672B8" w:rsidRDefault="003672B8" w:rsidP="003672B8">
      <w:pPr>
        <w:pStyle w:val="ConsPlusNormal"/>
        <w:jc w:val="center"/>
      </w:pPr>
      <w:r>
        <w:t xml:space="preserve">ЛЕНИНГРАДСКОЙ ОБЛАСТИ СУБСИДИИ СОЦИАЛЬНО </w:t>
      </w:r>
      <w:proofErr w:type="gramStart"/>
      <w:r>
        <w:t>ОРИЕНТИРОВАННЫМ</w:t>
      </w:r>
      <w:proofErr w:type="gramEnd"/>
    </w:p>
    <w:p w:rsidR="003672B8" w:rsidRDefault="003672B8" w:rsidP="003672B8">
      <w:pPr>
        <w:pStyle w:val="ConsPlusNormal"/>
        <w:jc w:val="center"/>
      </w:pPr>
      <w:r>
        <w:t>НЕКОММЕРЧЕСКИМ ОРГАНИЗАЦИЯМ, НЕ ЯВЛЯЮЩИМСЯ ГОСУДАРСТВЕННЫМИ</w:t>
      </w:r>
    </w:p>
    <w:p w:rsidR="003672B8" w:rsidRDefault="003672B8" w:rsidP="003672B8">
      <w:pPr>
        <w:pStyle w:val="ConsPlusNormal"/>
        <w:jc w:val="center"/>
      </w:pPr>
      <w:r>
        <w:t>(МУНИЦИПАЛЬНЫМИ) УЧРЕЖДЕНИЯМИ, НА РЕАЛИЗАЦИЮ ПРОЕКТОВ</w:t>
      </w:r>
    </w:p>
    <w:p w:rsidR="003672B8" w:rsidRDefault="003672B8" w:rsidP="003672B8">
      <w:pPr>
        <w:pStyle w:val="ConsPlusNormal"/>
        <w:jc w:val="center"/>
      </w:pPr>
      <w:r>
        <w:t>РАЗВИТИЯ И ПОДДЕРЖКИ НАРОДНОГО ТВОРЧЕСТВА</w:t>
      </w:r>
    </w:p>
    <w:p w:rsidR="003672B8" w:rsidRDefault="003672B8" w:rsidP="003672B8">
      <w:pPr>
        <w:pStyle w:val="ConsPlusNormal"/>
        <w:jc w:val="center"/>
      </w:pPr>
      <w:r>
        <w:t>В ЛЕНИНГРАДСКОЙ ОБЛАСТИ В РАМКАХ ГОСУДАРСТВЕННОЙ</w:t>
      </w:r>
    </w:p>
    <w:p w:rsidR="003672B8" w:rsidRDefault="003672B8" w:rsidP="003672B8">
      <w:pPr>
        <w:pStyle w:val="ConsPlusNormal"/>
        <w:jc w:val="center"/>
      </w:pPr>
      <w:r>
        <w:t>ПРОГРАММЫ ЛЕНИНГРАДСКОЙ ОБЛАСТИ "РАЗВИТИЕ КУЛЬТУРЫ</w:t>
      </w:r>
      <w:r w:rsidR="007F2EBD">
        <w:t xml:space="preserve"> И ТУРИЗМА</w:t>
      </w:r>
    </w:p>
    <w:p w:rsidR="003672B8" w:rsidRDefault="003672B8" w:rsidP="003672B8">
      <w:pPr>
        <w:pStyle w:val="ConsPlusNormal"/>
        <w:jc w:val="center"/>
      </w:pPr>
      <w:r>
        <w:t>В ЛЕНИНГРАДСКОЙ ОБЛАСТИ"</w:t>
      </w:r>
    </w:p>
    <w:p w:rsidR="003672B8" w:rsidRDefault="003672B8" w:rsidP="003672B8">
      <w:pPr>
        <w:spacing w:after="1"/>
      </w:pPr>
    </w:p>
    <w:p w:rsidR="003672B8" w:rsidRDefault="003672B8" w:rsidP="003672B8">
      <w:pPr>
        <w:pStyle w:val="ConsPlusNormal"/>
        <w:ind w:firstLine="540"/>
        <w:jc w:val="both"/>
      </w:pPr>
    </w:p>
    <w:p w:rsidR="003672B8" w:rsidRDefault="003672B8" w:rsidP="003672B8">
      <w:pPr>
        <w:pStyle w:val="ConsPlusNormal"/>
        <w:jc w:val="center"/>
        <w:outlineLvl w:val="2"/>
      </w:pPr>
      <w:r>
        <w:t>1. Общие положения</w:t>
      </w:r>
    </w:p>
    <w:p w:rsidR="003672B8" w:rsidRDefault="003672B8" w:rsidP="003672B8">
      <w:pPr>
        <w:pStyle w:val="ConsPlusNormal"/>
      </w:pPr>
    </w:p>
    <w:p w:rsidR="003672B8" w:rsidRDefault="003672B8" w:rsidP="003672B8">
      <w:pPr>
        <w:pStyle w:val="ConsPlusNormal"/>
        <w:ind w:firstLine="540"/>
        <w:jc w:val="both"/>
      </w:pPr>
      <w:r>
        <w:t xml:space="preserve">1.1. </w:t>
      </w:r>
      <w:proofErr w:type="gramStart"/>
      <w:r>
        <w:t xml:space="preserve">Настоящий Порядок устанавливает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w:t>
      </w:r>
      <w:r w:rsidR="007F2EBD">
        <w:t xml:space="preserve">и туризма </w:t>
      </w:r>
      <w:bookmarkStart w:id="1" w:name="_GoBack"/>
      <w:bookmarkEnd w:id="1"/>
      <w:r>
        <w:t>в Ленинградской области" (далее - субсидия).</w:t>
      </w:r>
      <w:proofErr w:type="gramEnd"/>
    </w:p>
    <w:p w:rsidR="003672B8" w:rsidRDefault="003672B8" w:rsidP="003672B8">
      <w:pPr>
        <w:pStyle w:val="ConsPlusNormal"/>
        <w:spacing w:before="280"/>
        <w:ind w:firstLine="540"/>
        <w:jc w:val="both"/>
      </w:pPr>
      <w:r>
        <w:t>1.2. Субсидия предоставляется в целях реализации мероприятий, направленных на развитие и поддержку народного творчества в Ленинградской области, в том числе:</w:t>
      </w:r>
    </w:p>
    <w:p w:rsidR="003672B8" w:rsidRDefault="003672B8" w:rsidP="003672B8">
      <w:pPr>
        <w:pStyle w:val="ConsPlusNormal"/>
        <w:spacing w:before="280"/>
        <w:ind w:firstLine="540"/>
        <w:jc w:val="both"/>
      </w:pPr>
      <w:r>
        <w:t>1) на подготовку и проведение фестивалей и конкурсов в области культуры и искусства:</w:t>
      </w:r>
    </w:p>
    <w:p w:rsidR="003672B8" w:rsidRDefault="003672B8" w:rsidP="003672B8">
      <w:pPr>
        <w:pStyle w:val="ConsPlusNormal"/>
        <w:spacing w:before="280"/>
        <w:ind w:firstLine="540"/>
        <w:jc w:val="both"/>
      </w:pPr>
      <w:r>
        <w:t>по музыкальному искусству,</w:t>
      </w:r>
    </w:p>
    <w:p w:rsidR="003672B8" w:rsidRDefault="003672B8" w:rsidP="003672B8">
      <w:pPr>
        <w:pStyle w:val="ConsPlusNormal"/>
        <w:spacing w:before="280"/>
        <w:ind w:firstLine="540"/>
        <w:jc w:val="both"/>
      </w:pPr>
      <w:r>
        <w:t>по театральному искусству,</w:t>
      </w:r>
    </w:p>
    <w:p w:rsidR="003672B8" w:rsidRDefault="003672B8" w:rsidP="003672B8">
      <w:pPr>
        <w:pStyle w:val="ConsPlusNormal"/>
        <w:spacing w:before="280"/>
        <w:ind w:firstLine="540"/>
        <w:jc w:val="both"/>
      </w:pPr>
      <w:r>
        <w:t>по пластическому искусству (балет, танец и др.),</w:t>
      </w:r>
    </w:p>
    <w:p w:rsidR="003672B8" w:rsidRDefault="003672B8" w:rsidP="003672B8">
      <w:pPr>
        <w:pStyle w:val="ConsPlusNormal"/>
        <w:spacing w:before="280"/>
        <w:ind w:firstLine="540"/>
        <w:jc w:val="both"/>
      </w:pPr>
      <w:r>
        <w:t>по аудиовизуальному искусству (искусство кино, звукозаписи и др.),</w:t>
      </w:r>
    </w:p>
    <w:p w:rsidR="003672B8" w:rsidRDefault="003672B8" w:rsidP="003672B8">
      <w:pPr>
        <w:pStyle w:val="ConsPlusNormal"/>
        <w:spacing w:before="280"/>
        <w:ind w:firstLine="540"/>
        <w:jc w:val="both"/>
      </w:pPr>
      <w:r>
        <w:t>по музейному и библиотечному делу,</w:t>
      </w:r>
    </w:p>
    <w:p w:rsidR="003672B8" w:rsidRDefault="003672B8" w:rsidP="003672B8">
      <w:pPr>
        <w:pStyle w:val="ConsPlusNormal"/>
        <w:spacing w:before="280"/>
        <w:ind w:firstLine="540"/>
        <w:jc w:val="both"/>
      </w:pPr>
      <w:r>
        <w:lastRenderedPageBreak/>
        <w:t>по народному и этническому искусству,</w:t>
      </w:r>
    </w:p>
    <w:p w:rsidR="003672B8" w:rsidRDefault="003672B8" w:rsidP="003672B8">
      <w:pPr>
        <w:pStyle w:val="ConsPlusNormal"/>
        <w:spacing w:before="280"/>
        <w:ind w:firstLine="540"/>
        <w:jc w:val="both"/>
      </w:pPr>
      <w:r>
        <w:t>по изобразительному искусству,</w:t>
      </w:r>
    </w:p>
    <w:p w:rsidR="003672B8" w:rsidRDefault="003672B8" w:rsidP="003672B8">
      <w:pPr>
        <w:pStyle w:val="ConsPlusNormal"/>
        <w:spacing w:before="280"/>
        <w:ind w:firstLine="540"/>
        <w:jc w:val="both"/>
      </w:pPr>
      <w:r>
        <w:t>по смешанным жанрам;</w:t>
      </w:r>
    </w:p>
    <w:p w:rsidR="003672B8" w:rsidRDefault="003672B8" w:rsidP="003672B8">
      <w:pPr>
        <w:pStyle w:val="ConsPlusNormal"/>
        <w:spacing w:before="280"/>
        <w:ind w:firstLine="540"/>
        <w:jc w:val="both"/>
      </w:pPr>
      <w:r>
        <w:t>2) на реализацию проектов в области культуры и искусства, направленных:</w:t>
      </w:r>
    </w:p>
    <w:p w:rsidR="003672B8" w:rsidRDefault="003672B8" w:rsidP="003672B8">
      <w:pPr>
        <w:pStyle w:val="ConsPlusNormal"/>
        <w:spacing w:before="280"/>
        <w:ind w:firstLine="540"/>
        <w:jc w:val="both"/>
      </w:pPr>
      <w:r>
        <w:t>на пропаганду традиций и достижений региональной, российской и мировой культуры;</w:t>
      </w:r>
    </w:p>
    <w:p w:rsidR="003672B8" w:rsidRDefault="003672B8" w:rsidP="003672B8">
      <w:pPr>
        <w:pStyle w:val="ConsPlusNormal"/>
        <w:spacing w:before="280"/>
        <w:ind w:firstLine="540"/>
        <w:jc w:val="both"/>
      </w:pPr>
      <w:r>
        <w:t>на выявление, поддержку и продвижение одаренных детей и творческой молодежи;</w:t>
      </w:r>
    </w:p>
    <w:p w:rsidR="003672B8" w:rsidRDefault="003672B8" w:rsidP="003672B8">
      <w:pPr>
        <w:pStyle w:val="ConsPlusNormal"/>
        <w:spacing w:before="280"/>
        <w:ind w:firstLine="540"/>
        <w:jc w:val="both"/>
      </w:pPr>
      <w:r>
        <w:t>на подготовку и проведение мероприятий для категорий населения, нуждающихся в социальной поддержке;</w:t>
      </w:r>
    </w:p>
    <w:p w:rsidR="003672B8" w:rsidRDefault="003672B8" w:rsidP="003672B8">
      <w:pPr>
        <w:pStyle w:val="ConsPlusNormal"/>
        <w:spacing w:before="280"/>
        <w:ind w:firstLine="540"/>
        <w:jc w:val="both"/>
      </w:pPr>
      <w:r>
        <w:t xml:space="preserve">на сохранение и развитие народного и </w:t>
      </w:r>
      <w:proofErr w:type="gramStart"/>
      <w:r>
        <w:t>любительского</w:t>
      </w:r>
      <w:proofErr w:type="gramEnd"/>
      <w:r>
        <w:t xml:space="preserve"> творчества;</w:t>
      </w:r>
    </w:p>
    <w:p w:rsidR="003672B8" w:rsidRDefault="003672B8" w:rsidP="003672B8">
      <w:pPr>
        <w:pStyle w:val="ConsPlusNormal"/>
        <w:spacing w:before="280"/>
        <w:ind w:firstLine="540"/>
        <w:jc w:val="both"/>
      </w:pPr>
      <w:r>
        <w:t>на сохранение и поддержку культуры и традиций этнических сообществ и национальных образований Ленинградской области.</w:t>
      </w:r>
    </w:p>
    <w:p w:rsidR="003672B8" w:rsidRDefault="003672B8" w:rsidP="003672B8">
      <w:pPr>
        <w:pStyle w:val="ConsPlusNormal"/>
        <w:spacing w:before="280"/>
        <w:ind w:firstLine="540"/>
        <w:jc w:val="both"/>
      </w:pPr>
      <w:proofErr w:type="gramStart"/>
      <w:r>
        <w:t>Фестивалями являются культурные мероприятия, объединяющие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roofErr w:type="gramEnd"/>
    </w:p>
    <w:p w:rsidR="003672B8" w:rsidRDefault="003672B8" w:rsidP="003672B8">
      <w:pPr>
        <w:pStyle w:val="ConsPlusNormal"/>
        <w:spacing w:before="280"/>
        <w:ind w:firstLine="540"/>
        <w:jc w:val="both"/>
      </w:pPr>
      <w:r>
        <w:t>Конкурсами являются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3672B8" w:rsidRDefault="003672B8" w:rsidP="003672B8">
      <w:pPr>
        <w:pStyle w:val="ConsPlusNormal"/>
        <w:spacing w:before="280"/>
        <w:ind w:firstLine="540"/>
        <w:jc w:val="both"/>
      </w:pPr>
      <w:r>
        <w:t>Проектом является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3672B8" w:rsidRDefault="003672B8" w:rsidP="003672B8">
      <w:pPr>
        <w:pStyle w:val="ConsPlusNormal"/>
        <w:spacing w:before="280"/>
        <w:ind w:firstLine="540"/>
        <w:jc w:val="both"/>
      </w:pPr>
      <w:bookmarkStart w:id="2" w:name="P5598"/>
      <w:bookmarkEnd w:id="2"/>
      <w:r>
        <w:t xml:space="preserve">1.3. Категории получателей субсидии: социально ориентированные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на реализацию проектов развития и </w:t>
      </w:r>
      <w:r>
        <w:lastRenderedPageBreak/>
        <w:t>поддержки народного творчества.</w:t>
      </w:r>
    </w:p>
    <w:p w:rsidR="003672B8" w:rsidRDefault="003672B8" w:rsidP="003672B8">
      <w:pPr>
        <w:pStyle w:val="ConsPlusNormal"/>
        <w:spacing w:before="280"/>
        <w:ind w:firstLine="540"/>
        <w:jc w:val="both"/>
      </w:pPr>
      <w:r>
        <w:t xml:space="preserve">Критерии отбора получателей субсидии указаны в </w:t>
      </w:r>
      <w:hyperlink w:anchor="P5623" w:history="1">
        <w:r>
          <w:rPr>
            <w:color w:val="0000FF"/>
          </w:rPr>
          <w:t>пункте 2.6</w:t>
        </w:r>
      </w:hyperlink>
      <w:r>
        <w:t xml:space="preserve"> настоящего Порядка.</w:t>
      </w:r>
    </w:p>
    <w:p w:rsidR="003672B8" w:rsidRDefault="003672B8" w:rsidP="003672B8">
      <w:pPr>
        <w:pStyle w:val="ConsPlusNormal"/>
        <w:spacing w:before="280"/>
        <w:ind w:firstLine="540"/>
        <w:jc w:val="both"/>
      </w:pPr>
      <w:r>
        <w:t>1.4. Главным распорядителем средств субсидии является комитет по культуре Ленинградской области (далее - комитет).</w:t>
      </w:r>
    </w:p>
    <w:p w:rsidR="003672B8" w:rsidRDefault="003672B8" w:rsidP="003672B8">
      <w:pPr>
        <w:pStyle w:val="ConsPlusNormal"/>
      </w:pPr>
    </w:p>
    <w:p w:rsidR="003672B8" w:rsidRDefault="003672B8" w:rsidP="003672B8">
      <w:pPr>
        <w:pStyle w:val="ConsPlusNormal"/>
        <w:jc w:val="center"/>
        <w:outlineLvl w:val="2"/>
      </w:pPr>
      <w:r>
        <w:t>2. Условия и порядок предоставления субсидий</w:t>
      </w:r>
    </w:p>
    <w:p w:rsidR="003672B8" w:rsidRDefault="003672B8" w:rsidP="003672B8">
      <w:pPr>
        <w:pStyle w:val="ConsPlusNormal"/>
      </w:pPr>
    </w:p>
    <w:p w:rsidR="003672B8" w:rsidRDefault="003672B8" w:rsidP="003672B8">
      <w:pPr>
        <w:pStyle w:val="ConsPlusNormal"/>
        <w:ind w:firstLine="540"/>
        <w:jc w:val="both"/>
      </w:pPr>
      <w:bookmarkStart w:id="3" w:name="P5604"/>
      <w:bookmarkEnd w:id="3"/>
      <w:r>
        <w:t>2.1. Субсидии предоставляются по результатам конкурсного отбора.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w:t>
      </w:r>
    </w:p>
    <w:p w:rsidR="003672B8" w:rsidRDefault="003672B8" w:rsidP="003672B8">
      <w:pPr>
        <w:pStyle w:val="ConsPlusNormal"/>
        <w:spacing w:before="280"/>
        <w:ind w:firstLine="540"/>
        <w:jc w:val="both"/>
      </w:pPr>
      <w:r>
        <w:t>2.2. Информация о проведении конкурсного отбора с указанием сроков подачи заявок на участие в конкурсном отборе в текущем финансовом году размещается на официальном сайте комитета в информационно-телекоммуникационной сети "Интернет" (http://culture.lenobl.ru) в течение семи рабочих дней со дня принятия комитетом решения о предоставлении субсидий в текущем финансовом году.</w:t>
      </w:r>
    </w:p>
    <w:p w:rsidR="003672B8" w:rsidRDefault="003672B8" w:rsidP="003672B8">
      <w:pPr>
        <w:pStyle w:val="ConsPlusNormal"/>
        <w:jc w:val="both"/>
      </w:pPr>
      <w:r>
        <w:t xml:space="preserve">(п. 2.2 в ред. </w:t>
      </w:r>
      <w:hyperlink r:id="rId5" w:history="1">
        <w:r>
          <w:rPr>
            <w:color w:val="0000FF"/>
          </w:rPr>
          <w:t>Постановления</w:t>
        </w:r>
      </w:hyperlink>
      <w:r>
        <w:t xml:space="preserve"> Правительства Ленинградской области от 29.06.2018 N 213)</w:t>
      </w:r>
    </w:p>
    <w:p w:rsidR="003672B8" w:rsidRDefault="003672B8" w:rsidP="003672B8">
      <w:pPr>
        <w:pStyle w:val="ConsPlusNormal"/>
        <w:spacing w:before="280"/>
        <w:ind w:firstLine="540"/>
        <w:jc w:val="both"/>
      </w:pPr>
      <w:r>
        <w:t>2.3. Прием заявок на участие в конкурсном отборе (далее - заявка) осуществляется в течение не менее 30 календарных дней со дня размещения информации о проведении конкурсного отбора.</w:t>
      </w:r>
    </w:p>
    <w:p w:rsidR="003672B8" w:rsidRDefault="003672B8" w:rsidP="003672B8">
      <w:pPr>
        <w:pStyle w:val="ConsPlusNormal"/>
        <w:spacing w:before="280"/>
        <w:ind w:firstLine="540"/>
        <w:jc w:val="both"/>
      </w:pPr>
      <w:bookmarkStart w:id="4" w:name="P5608"/>
      <w:bookmarkEnd w:id="4"/>
      <w:r>
        <w:t>2.4. Для получения субсидии некоммерческая организация представляет в комитет следующие документы:</w:t>
      </w:r>
    </w:p>
    <w:p w:rsidR="003672B8" w:rsidRDefault="003672B8" w:rsidP="003672B8">
      <w:pPr>
        <w:pStyle w:val="ConsPlusNormal"/>
        <w:spacing w:before="280"/>
        <w:ind w:firstLine="540"/>
        <w:jc w:val="both"/>
      </w:pPr>
      <w:r>
        <w:t>а) заявку на предоставление субсидии по форме, утвержденной нормативным правовым актом комитета;</w:t>
      </w:r>
    </w:p>
    <w:p w:rsidR="003672B8" w:rsidRDefault="003672B8" w:rsidP="003672B8">
      <w:pPr>
        <w:pStyle w:val="ConsPlusNormal"/>
        <w:spacing w:before="280"/>
        <w:ind w:firstLine="540"/>
        <w:jc w:val="both"/>
      </w:pPr>
      <w:r>
        <w:t>б) устав получателя субсидии с отметкой территориального подразделения Федеральной налоговой службы;</w:t>
      </w:r>
    </w:p>
    <w:p w:rsidR="003672B8" w:rsidRDefault="003672B8" w:rsidP="003672B8">
      <w:pPr>
        <w:pStyle w:val="ConsPlusNormal"/>
        <w:spacing w:before="280"/>
        <w:ind w:firstLine="540"/>
        <w:jc w:val="both"/>
      </w:pPr>
      <w:r>
        <w:t>в) свидетельство о государственной регистрации некоммерческой организации;</w:t>
      </w:r>
    </w:p>
    <w:p w:rsidR="003672B8" w:rsidRDefault="003672B8" w:rsidP="003672B8">
      <w:pPr>
        <w:pStyle w:val="ConsPlusNormal"/>
        <w:spacing w:before="280"/>
        <w:ind w:firstLine="540"/>
        <w:jc w:val="both"/>
      </w:pPr>
      <w: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3672B8" w:rsidRDefault="003672B8" w:rsidP="003672B8">
      <w:pPr>
        <w:pStyle w:val="ConsPlusNormal"/>
        <w:spacing w:before="280"/>
        <w:ind w:firstLine="540"/>
        <w:jc w:val="both"/>
      </w:pPr>
      <w:r>
        <w:t>д) свидетельство о постановке на налоговый учет некоммерческой организации;</w:t>
      </w:r>
    </w:p>
    <w:p w:rsidR="003672B8" w:rsidRDefault="003672B8" w:rsidP="003672B8">
      <w:pPr>
        <w:pStyle w:val="ConsPlusNormal"/>
        <w:spacing w:before="280"/>
        <w:ind w:firstLine="540"/>
        <w:jc w:val="both"/>
      </w:pPr>
      <w:r>
        <w:lastRenderedPageBreak/>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3672B8" w:rsidRDefault="003672B8" w:rsidP="003672B8">
      <w:pPr>
        <w:pStyle w:val="ConsPlusNormal"/>
        <w:spacing w:before="280"/>
        <w:ind w:firstLine="540"/>
        <w:jc w:val="both"/>
      </w:pPr>
      <w: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3672B8" w:rsidRDefault="003672B8" w:rsidP="003672B8">
      <w:pPr>
        <w:pStyle w:val="ConsPlusNormal"/>
        <w:spacing w:before="280"/>
        <w:ind w:firstLine="540"/>
        <w:jc w:val="both"/>
      </w:pPr>
      <w:r>
        <w:t>з) справку об отсутствии задолженности перед работниками по заработной плате, заверенную подписями руководителя постоянно действующего руководящего (исполнительного) органа некоммерческой организации или иного лица, имеющие право без доверенности действовать от ее имени (далее - руководитель), и главного бухгалтера;</w:t>
      </w:r>
    </w:p>
    <w:p w:rsidR="003672B8" w:rsidRDefault="003672B8" w:rsidP="003672B8">
      <w:pPr>
        <w:pStyle w:val="ConsPlusNormal"/>
        <w:spacing w:before="280"/>
        <w:ind w:firstLine="540"/>
        <w:jc w:val="both"/>
      </w:pPr>
      <w:r>
        <w:t>и) справку о среднемесячной заработной плате работников, заверенную подписями руководителя и главного бухгалтера;</w:t>
      </w:r>
    </w:p>
    <w:p w:rsidR="003672B8" w:rsidRDefault="003672B8" w:rsidP="003672B8">
      <w:pPr>
        <w:pStyle w:val="ConsPlusNormal"/>
        <w:spacing w:before="280"/>
        <w:ind w:firstLine="540"/>
        <w:jc w:val="both"/>
      </w:pPr>
      <w:r>
        <w:t>к) документ, подтверждающий полномочия руководителя некоммерческой организации.</w:t>
      </w:r>
    </w:p>
    <w:p w:rsidR="003672B8" w:rsidRDefault="003672B8" w:rsidP="003672B8">
      <w:pPr>
        <w:pStyle w:val="ConsPlusNormal"/>
        <w:spacing w:before="280"/>
        <w:ind w:firstLine="540"/>
        <w:jc w:val="both"/>
      </w:pPr>
      <w:bookmarkStart w:id="5" w:name="P5619"/>
      <w:bookmarkEnd w:id="5"/>
      <w:r>
        <w:t>2.5. Оценка заявок проводится в три этапа:</w:t>
      </w:r>
    </w:p>
    <w:p w:rsidR="003672B8" w:rsidRDefault="003672B8" w:rsidP="003672B8">
      <w:pPr>
        <w:pStyle w:val="ConsPlusNormal"/>
        <w:spacing w:before="280"/>
        <w:ind w:firstLine="540"/>
        <w:jc w:val="both"/>
      </w:pPr>
      <w:r>
        <w:t xml:space="preserve">2.5.1. На </w:t>
      </w:r>
      <w:proofErr w:type="gramStart"/>
      <w:r>
        <w:t>первом</w:t>
      </w:r>
      <w:proofErr w:type="gramEnd"/>
      <w:r>
        <w:t xml:space="preserve"> этапе осуществляется проверка заявок на предмет соответствия требованиям, установленным </w:t>
      </w:r>
      <w:hyperlink w:anchor="P5598" w:history="1">
        <w:r>
          <w:rPr>
            <w:color w:val="0000FF"/>
          </w:rPr>
          <w:t>пунктом 1.3</w:t>
        </w:r>
      </w:hyperlink>
      <w:r>
        <w:t xml:space="preserve"> настоящего Порядка, и наличие документов, установленных </w:t>
      </w:r>
      <w:hyperlink w:anchor="P5608" w:history="1">
        <w:r>
          <w:rPr>
            <w:color w:val="0000FF"/>
          </w:rPr>
          <w:t>пунктом 2.4</w:t>
        </w:r>
      </w:hyperlink>
      <w:r>
        <w:t xml:space="preserve"> настоящего Порядка. Основанием для отклонения советом заявки является представление документов не в полном объеме </w:t>
      </w:r>
      <w:proofErr w:type="gramStart"/>
      <w:r>
        <w:t>и(</w:t>
      </w:r>
      <w:proofErr w:type="gramEnd"/>
      <w:r>
        <w:t>или) документов, не соответствующих требованиям настоящего Порядка.</w:t>
      </w:r>
    </w:p>
    <w:p w:rsidR="003672B8" w:rsidRDefault="003672B8" w:rsidP="003672B8">
      <w:pPr>
        <w:pStyle w:val="ConsPlusNormal"/>
        <w:spacing w:before="280"/>
        <w:ind w:firstLine="540"/>
        <w:jc w:val="both"/>
      </w:pPr>
      <w:r>
        <w:t xml:space="preserve">2.5.2. На </w:t>
      </w:r>
      <w:proofErr w:type="gramStart"/>
      <w:r>
        <w:t>втором</w:t>
      </w:r>
      <w:proofErr w:type="gramEnd"/>
      <w:r>
        <w:t xml:space="preserve"> этапе совет обсуждает проекты, представленные в материалах заявки, прошедших первый этап оценки, и заполняет оценочные листы.</w:t>
      </w:r>
    </w:p>
    <w:p w:rsidR="003672B8" w:rsidRDefault="003672B8" w:rsidP="003672B8">
      <w:pPr>
        <w:pStyle w:val="ConsPlusNormal"/>
        <w:spacing w:before="280"/>
        <w:ind w:firstLine="540"/>
        <w:jc w:val="both"/>
      </w:pPr>
      <w:r>
        <w:t xml:space="preserve">2.5.3. На </w:t>
      </w:r>
      <w:proofErr w:type="gramStart"/>
      <w:r>
        <w:t>третьем</w:t>
      </w:r>
      <w:proofErr w:type="gramEnd"/>
      <w:r>
        <w:t xml:space="preserve"> этапе осуществляется оценка проектов путем подсчета баллов по критериям, указанным в </w:t>
      </w:r>
      <w:hyperlink w:anchor="P5623" w:history="1">
        <w:r>
          <w:rPr>
            <w:color w:val="0000FF"/>
          </w:rPr>
          <w:t>пункте 2.6</w:t>
        </w:r>
      </w:hyperlink>
      <w:r>
        <w:t xml:space="preserve"> настоящего Порядка, и принимается окончательное решение о финансировании проекта либо об отказе в финансировании.</w:t>
      </w:r>
    </w:p>
    <w:p w:rsidR="003672B8" w:rsidRDefault="003672B8" w:rsidP="003672B8">
      <w:pPr>
        <w:pStyle w:val="ConsPlusNormal"/>
        <w:spacing w:before="280"/>
        <w:ind w:firstLine="540"/>
        <w:jc w:val="both"/>
      </w:pPr>
      <w:bookmarkStart w:id="6" w:name="P5623"/>
      <w:bookmarkEnd w:id="6"/>
      <w:r>
        <w:t>2.6. Представленные на конкурс заявки (проекты) оцениваются советом в баллах по следующим критериям:</w:t>
      </w:r>
    </w:p>
    <w:p w:rsidR="003672B8" w:rsidRDefault="003672B8" w:rsidP="003672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2890"/>
      </w:tblGrid>
      <w:tr w:rsidR="003672B8" w:rsidTr="00B17AEF">
        <w:tc>
          <w:tcPr>
            <w:tcW w:w="510" w:type="dxa"/>
          </w:tcPr>
          <w:p w:rsidR="003672B8" w:rsidRDefault="003672B8" w:rsidP="00B17AEF">
            <w:pPr>
              <w:pStyle w:val="ConsPlusNormal"/>
              <w:jc w:val="center"/>
            </w:pPr>
            <w:r>
              <w:t xml:space="preserve">N </w:t>
            </w:r>
            <w:proofErr w:type="gramStart"/>
            <w:r>
              <w:t>п</w:t>
            </w:r>
            <w:proofErr w:type="gramEnd"/>
            <w:r>
              <w:t>/п</w:t>
            </w:r>
          </w:p>
        </w:tc>
        <w:tc>
          <w:tcPr>
            <w:tcW w:w="5669" w:type="dxa"/>
          </w:tcPr>
          <w:p w:rsidR="003672B8" w:rsidRDefault="003672B8" w:rsidP="00B17AEF">
            <w:pPr>
              <w:pStyle w:val="ConsPlusNormal"/>
              <w:jc w:val="center"/>
            </w:pPr>
            <w:r>
              <w:t>Наименование критерия</w:t>
            </w:r>
          </w:p>
        </w:tc>
        <w:tc>
          <w:tcPr>
            <w:tcW w:w="2890" w:type="dxa"/>
          </w:tcPr>
          <w:p w:rsidR="003672B8" w:rsidRDefault="003672B8" w:rsidP="00B17AEF">
            <w:pPr>
              <w:pStyle w:val="ConsPlusNormal"/>
              <w:jc w:val="center"/>
            </w:pPr>
            <w:r>
              <w:t>Количество баллов</w:t>
            </w:r>
          </w:p>
        </w:tc>
      </w:tr>
      <w:tr w:rsidR="003672B8" w:rsidTr="00B17AEF">
        <w:tc>
          <w:tcPr>
            <w:tcW w:w="510" w:type="dxa"/>
          </w:tcPr>
          <w:p w:rsidR="003672B8" w:rsidRDefault="003672B8" w:rsidP="00B17AEF">
            <w:pPr>
              <w:pStyle w:val="ConsPlusNormal"/>
              <w:jc w:val="center"/>
            </w:pPr>
            <w:r>
              <w:t>1</w:t>
            </w:r>
          </w:p>
        </w:tc>
        <w:tc>
          <w:tcPr>
            <w:tcW w:w="5669" w:type="dxa"/>
          </w:tcPr>
          <w:p w:rsidR="003672B8" w:rsidRDefault="003672B8" w:rsidP="00B17AEF">
            <w:pPr>
              <w:pStyle w:val="ConsPlusNormal"/>
            </w:pPr>
            <w:r>
              <w:t xml:space="preserve">Наличие опыта успешной деятельности в </w:t>
            </w:r>
            <w:r>
              <w:lastRenderedPageBreak/>
              <w:t>реализации мероприятий, предусмотренных проектом</w:t>
            </w:r>
          </w:p>
        </w:tc>
        <w:tc>
          <w:tcPr>
            <w:tcW w:w="2890" w:type="dxa"/>
          </w:tcPr>
          <w:p w:rsidR="003672B8" w:rsidRDefault="003672B8" w:rsidP="00B17AEF">
            <w:pPr>
              <w:pStyle w:val="ConsPlusNormal"/>
            </w:pPr>
            <w:r>
              <w:lastRenderedPageBreak/>
              <w:t xml:space="preserve">Более 5 лет - 20 </w:t>
            </w:r>
            <w:r>
              <w:lastRenderedPageBreak/>
              <w:t>баллов;</w:t>
            </w:r>
          </w:p>
          <w:p w:rsidR="003672B8" w:rsidRDefault="003672B8" w:rsidP="00B17AEF">
            <w:pPr>
              <w:pStyle w:val="ConsPlusNormal"/>
            </w:pPr>
            <w:r>
              <w:t>менее 5 лет - 5 баллов;</w:t>
            </w:r>
          </w:p>
          <w:p w:rsidR="003672B8" w:rsidRDefault="003672B8" w:rsidP="00B17AEF">
            <w:pPr>
              <w:pStyle w:val="ConsPlusNormal"/>
            </w:pPr>
            <w:r>
              <w:t>без опыта - 0 баллов</w:t>
            </w:r>
          </w:p>
        </w:tc>
      </w:tr>
      <w:tr w:rsidR="003672B8" w:rsidTr="00B17AEF">
        <w:tc>
          <w:tcPr>
            <w:tcW w:w="510" w:type="dxa"/>
          </w:tcPr>
          <w:p w:rsidR="003672B8" w:rsidRDefault="003672B8" w:rsidP="00B17AEF">
            <w:pPr>
              <w:pStyle w:val="ConsPlusNormal"/>
              <w:jc w:val="center"/>
            </w:pPr>
            <w:r>
              <w:lastRenderedPageBreak/>
              <w:t>2</w:t>
            </w:r>
          </w:p>
        </w:tc>
        <w:tc>
          <w:tcPr>
            <w:tcW w:w="5669" w:type="dxa"/>
          </w:tcPr>
          <w:p w:rsidR="003672B8" w:rsidRDefault="003672B8" w:rsidP="00B17AEF">
            <w:pPr>
              <w:pStyle w:val="ConsPlusNormal"/>
            </w:pPr>
            <w:r>
              <w:t>Соответствие тематики проекта, на реализацию которого запрашивается субсидия, направлениям, указанным в пункте 2 настоящего Порядка</w:t>
            </w:r>
          </w:p>
        </w:tc>
        <w:tc>
          <w:tcPr>
            <w:tcW w:w="2890" w:type="dxa"/>
          </w:tcPr>
          <w:p w:rsidR="003672B8" w:rsidRDefault="003672B8" w:rsidP="00B17AEF">
            <w:pPr>
              <w:pStyle w:val="ConsPlusNormal"/>
            </w:pPr>
            <w:r>
              <w:t>Соответствует - 30 баллов;</w:t>
            </w:r>
          </w:p>
          <w:p w:rsidR="003672B8" w:rsidRDefault="003672B8" w:rsidP="00B17AEF">
            <w:pPr>
              <w:pStyle w:val="ConsPlusNormal"/>
            </w:pPr>
            <w:r>
              <w:t>не соответствует - 0 баллов</w:t>
            </w:r>
          </w:p>
        </w:tc>
      </w:tr>
      <w:tr w:rsidR="003672B8" w:rsidTr="00B17AEF">
        <w:tc>
          <w:tcPr>
            <w:tcW w:w="510" w:type="dxa"/>
          </w:tcPr>
          <w:p w:rsidR="003672B8" w:rsidRDefault="003672B8" w:rsidP="00B17AEF">
            <w:pPr>
              <w:pStyle w:val="ConsPlusNormal"/>
              <w:jc w:val="center"/>
            </w:pPr>
            <w:r>
              <w:t>3</w:t>
            </w:r>
          </w:p>
        </w:tc>
        <w:tc>
          <w:tcPr>
            <w:tcW w:w="5669" w:type="dxa"/>
          </w:tcPr>
          <w:p w:rsidR="003672B8" w:rsidRDefault="003672B8" w:rsidP="00B17AEF">
            <w:pPr>
              <w:pStyle w:val="ConsPlusNormal"/>
            </w:pPr>
            <w:r>
              <w:t>Соответствие мероприятий проекта, на реализацию которого запрашивается субсидия, уставным целям и направлениям деятельности некоммерческой организации</w:t>
            </w:r>
          </w:p>
        </w:tc>
        <w:tc>
          <w:tcPr>
            <w:tcW w:w="2890" w:type="dxa"/>
          </w:tcPr>
          <w:p w:rsidR="003672B8" w:rsidRDefault="003672B8" w:rsidP="00B17AEF">
            <w:pPr>
              <w:pStyle w:val="ConsPlusNormal"/>
            </w:pPr>
            <w:r>
              <w:t>Соответствуют - 20 баллов;</w:t>
            </w:r>
          </w:p>
          <w:p w:rsidR="003672B8" w:rsidRDefault="003672B8" w:rsidP="00B17AEF">
            <w:pPr>
              <w:pStyle w:val="ConsPlusNormal"/>
            </w:pPr>
            <w:r>
              <w:t>не соответствуют - 0 баллов</w:t>
            </w:r>
          </w:p>
        </w:tc>
      </w:tr>
      <w:tr w:rsidR="003672B8" w:rsidTr="00B17AEF">
        <w:tc>
          <w:tcPr>
            <w:tcW w:w="510" w:type="dxa"/>
          </w:tcPr>
          <w:p w:rsidR="003672B8" w:rsidRDefault="003672B8" w:rsidP="00B17AEF">
            <w:pPr>
              <w:pStyle w:val="ConsPlusNormal"/>
              <w:jc w:val="center"/>
            </w:pPr>
            <w:r>
              <w:t>4</w:t>
            </w:r>
          </w:p>
        </w:tc>
        <w:tc>
          <w:tcPr>
            <w:tcW w:w="5669" w:type="dxa"/>
          </w:tcPr>
          <w:p w:rsidR="003672B8" w:rsidRDefault="003672B8" w:rsidP="00B17AEF">
            <w:pPr>
              <w:pStyle w:val="ConsPlusNormal"/>
            </w:pPr>
            <w:r>
              <w:t>Размер участия некоммерческой организации в финансировании мероприятия за счет собственных средств и иных источников по отношению к сумме запрашиваемых средств из областного бюджета Ленинградской области (в проц.)</w:t>
            </w:r>
          </w:p>
        </w:tc>
        <w:tc>
          <w:tcPr>
            <w:tcW w:w="2890" w:type="dxa"/>
          </w:tcPr>
          <w:p w:rsidR="003672B8" w:rsidRDefault="003672B8" w:rsidP="00B17AEF">
            <w:pPr>
              <w:pStyle w:val="ConsPlusNormal"/>
            </w:pPr>
            <w:r>
              <w:t>Более 30 проц. - 30 баллов;</w:t>
            </w:r>
          </w:p>
          <w:p w:rsidR="003672B8" w:rsidRDefault="003672B8" w:rsidP="00B17AEF">
            <w:pPr>
              <w:pStyle w:val="ConsPlusNormal"/>
            </w:pPr>
            <w:r>
              <w:t>менее 30 проц. - 0 баллов</w:t>
            </w:r>
          </w:p>
        </w:tc>
      </w:tr>
    </w:tbl>
    <w:p w:rsidR="003672B8" w:rsidRDefault="003672B8" w:rsidP="003672B8">
      <w:pPr>
        <w:pStyle w:val="ConsPlusNormal"/>
        <w:ind w:firstLine="540"/>
        <w:jc w:val="both"/>
      </w:pPr>
    </w:p>
    <w:p w:rsidR="003672B8" w:rsidRDefault="003672B8" w:rsidP="003672B8">
      <w:pPr>
        <w:pStyle w:val="ConsPlusNormal"/>
        <w:ind w:firstLine="540"/>
        <w:jc w:val="both"/>
      </w:pPr>
      <w:r>
        <w:t>2.7. Порядок работы совета утверждается нормативным правовым актом комитета, персональный состав совета - правовым актом комитета.</w:t>
      </w:r>
    </w:p>
    <w:p w:rsidR="003672B8" w:rsidRDefault="003672B8" w:rsidP="003672B8">
      <w:pPr>
        <w:pStyle w:val="ConsPlusNormal"/>
        <w:spacing w:before="280"/>
        <w:ind w:firstLine="540"/>
        <w:jc w:val="both"/>
      </w:pPr>
      <w:r>
        <w:t>2.8. Решение совета принимается на основании рейтинга проектов (среднее значение суммарного результата оценки членов экспертного совета).</w:t>
      </w:r>
    </w:p>
    <w:p w:rsidR="003672B8" w:rsidRDefault="003672B8" w:rsidP="003672B8">
      <w:pPr>
        <w:pStyle w:val="ConsPlusNormal"/>
        <w:spacing w:before="280"/>
        <w:ind w:firstLine="540"/>
        <w:jc w:val="both"/>
      </w:pPr>
      <w:r>
        <w:t>2.9. Размер субсидии определяется по следующей формуле:</w:t>
      </w:r>
    </w:p>
    <w:p w:rsidR="003672B8" w:rsidRDefault="003672B8" w:rsidP="003672B8">
      <w:pPr>
        <w:pStyle w:val="ConsPlusNormal"/>
        <w:ind w:firstLine="540"/>
        <w:jc w:val="both"/>
      </w:pPr>
    </w:p>
    <w:p w:rsidR="003672B8" w:rsidRDefault="003672B8" w:rsidP="003672B8">
      <w:pPr>
        <w:pStyle w:val="ConsPlusNormal"/>
        <w:jc w:val="center"/>
      </w:pPr>
      <w:proofErr w:type="spellStart"/>
      <w:r>
        <w:t>Р</w:t>
      </w:r>
      <w:r>
        <w:rPr>
          <w:vertAlign w:val="subscript"/>
        </w:rPr>
        <w:t>суб</w:t>
      </w:r>
      <w:proofErr w:type="spellEnd"/>
      <w:r>
        <w:rPr>
          <w:vertAlign w:val="subscript"/>
        </w:rPr>
        <w:t>.</w:t>
      </w:r>
      <w:r>
        <w:t xml:space="preserve"> = </w:t>
      </w:r>
      <w:proofErr w:type="spellStart"/>
      <w:r>
        <w:t>Б</w:t>
      </w:r>
      <w:r>
        <w:rPr>
          <w:vertAlign w:val="subscript"/>
        </w:rPr>
        <w:t>ст</w:t>
      </w:r>
      <w:proofErr w:type="spellEnd"/>
      <w:r>
        <w:rPr>
          <w:vertAlign w:val="subscript"/>
        </w:rPr>
        <w:t>.</w:t>
      </w:r>
      <w:r>
        <w:t xml:space="preserve"> x</w:t>
      </w:r>
      <w:proofErr w:type="gramStart"/>
      <w:r>
        <w:t xml:space="preserve"> Б</w:t>
      </w:r>
      <w:proofErr w:type="gramEnd"/>
      <w:r>
        <w:t xml:space="preserve"> / 100,</w:t>
      </w:r>
    </w:p>
    <w:p w:rsidR="003672B8" w:rsidRDefault="003672B8" w:rsidP="003672B8">
      <w:pPr>
        <w:pStyle w:val="ConsPlusNormal"/>
        <w:ind w:firstLine="540"/>
        <w:jc w:val="both"/>
      </w:pPr>
    </w:p>
    <w:p w:rsidR="003672B8" w:rsidRDefault="003672B8" w:rsidP="003672B8">
      <w:pPr>
        <w:pStyle w:val="ConsPlusNormal"/>
        <w:ind w:firstLine="540"/>
        <w:jc w:val="both"/>
      </w:pPr>
      <w:r>
        <w:t>где:</w:t>
      </w:r>
    </w:p>
    <w:p w:rsidR="003672B8" w:rsidRDefault="003672B8" w:rsidP="003672B8">
      <w:pPr>
        <w:pStyle w:val="ConsPlusNormal"/>
        <w:spacing w:before="280"/>
        <w:ind w:firstLine="540"/>
        <w:jc w:val="both"/>
      </w:pPr>
      <w:proofErr w:type="spellStart"/>
      <w:r>
        <w:t>Р</w:t>
      </w:r>
      <w:r>
        <w:rPr>
          <w:vertAlign w:val="subscript"/>
        </w:rPr>
        <w:t>суб</w:t>
      </w:r>
      <w:proofErr w:type="spellEnd"/>
      <w:r>
        <w:rPr>
          <w:vertAlign w:val="subscript"/>
        </w:rPr>
        <w:t>.</w:t>
      </w:r>
      <w:r>
        <w:t xml:space="preserve"> - размер субсидии, предоставляемой победителю конкурсного отбора;</w:t>
      </w:r>
    </w:p>
    <w:p w:rsidR="003672B8" w:rsidRDefault="003672B8" w:rsidP="003672B8">
      <w:pPr>
        <w:pStyle w:val="ConsPlusNormal"/>
        <w:spacing w:before="280"/>
        <w:ind w:firstLine="540"/>
        <w:jc w:val="both"/>
      </w:pPr>
      <w:proofErr w:type="spellStart"/>
      <w:r>
        <w:t>Б</w:t>
      </w:r>
      <w:r>
        <w:rPr>
          <w:vertAlign w:val="subscript"/>
        </w:rPr>
        <w:t>ст</w:t>
      </w:r>
      <w:proofErr w:type="spellEnd"/>
      <w:r>
        <w:t>. - базовая стоимость проекта, заявленная победителем конкурсного отбора за счет бюджета Ленинградской области;</w:t>
      </w:r>
    </w:p>
    <w:p w:rsidR="003672B8" w:rsidRDefault="003672B8" w:rsidP="003672B8">
      <w:pPr>
        <w:pStyle w:val="ConsPlusNormal"/>
        <w:spacing w:before="280"/>
        <w:ind w:firstLine="540"/>
        <w:jc w:val="both"/>
      </w:pPr>
      <w:proofErr w:type="gramStart"/>
      <w:r>
        <w:t>Б</w:t>
      </w:r>
      <w:proofErr w:type="gramEnd"/>
      <w:r>
        <w:t xml:space="preserve"> - среднее значение суммарного результата оценки проекта;</w:t>
      </w:r>
    </w:p>
    <w:p w:rsidR="003672B8" w:rsidRDefault="003672B8" w:rsidP="003672B8">
      <w:pPr>
        <w:pStyle w:val="ConsPlusNormal"/>
        <w:spacing w:before="280"/>
        <w:ind w:firstLine="540"/>
        <w:jc w:val="both"/>
      </w:pPr>
      <w:r>
        <w:t>100 - максимальное количество оценочных баллов.</w:t>
      </w:r>
    </w:p>
    <w:p w:rsidR="003672B8" w:rsidRDefault="003672B8" w:rsidP="003672B8">
      <w:pPr>
        <w:pStyle w:val="ConsPlusNormal"/>
        <w:ind w:firstLine="540"/>
        <w:jc w:val="both"/>
      </w:pPr>
    </w:p>
    <w:p w:rsidR="003672B8" w:rsidRDefault="003672B8" w:rsidP="003672B8">
      <w:pPr>
        <w:pStyle w:val="ConsPlusNormal"/>
        <w:ind w:firstLine="540"/>
        <w:jc w:val="both"/>
      </w:pPr>
      <w:r>
        <w:t xml:space="preserve">2.10. Количество победителей конкурсного отбора определяется исходя из объема бюджетных ассигнований, предусмотренных комитету на текущий </w:t>
      </w:r>
      <w:r>
        <w:lastRenderedPageBreak/>
        <w:t>финансовый год на соответствующие цели.</w:t>
      </w:r>
    </w:p>
    <w:p w:rsidR="003672B8" w:rsidRDefault="003672B8" w:rsidP="003672B8">
      <w:pPr>
        <w:pStyle w:val="ConsPlusNormal"/>
        <w:spacing w:before="280"/>
        <w:ind w:firstLine="540"/>
        <w:jc w:val="both"/>
      </w:pPr>
      <w:bookmarkStart w:id="7" w:name="P5659"/>
      <w:bookmarkEnd w:id="7"/>
      <w:r>
        <w:t>2.11. На основе полученных результатов совет формирует рейтинговый список претендентов на получение субсидий. Претендент, получивший наибольшее количество баллов, получает более высокий рейтинговый номер (наименьший порядковый номер в списке).</w:t>
      </w:r>
    </w:p>
    <w:p w:rsidR="003672B8" w:rsidRDefault="003672B8" w:rsidP="003672B8">
      <w:pPr>
        <w:pStyle w:val="ConsPlusNormal"/>
        <w:spacing w:before="280"/>
        <w:ind w:firstLine="540"/>
        <w:jc w:val="both"/>
      </w:pPr>
      <w:r>
        <w:t xml:space="preserve">2.12. В случае возникновения по результатам работы совета нераспределенного остатка бюджетных средств комитетом проводится дополнительный конкурсный отбор в порядке, установленном </w:t>
      </w:r>
      <w:hyperlink w:anchor="P5604" w:history="1">
        <w:r>
          <w:rPr>
            <w:color w:val="0000FF"/>
          </w:rPr>
          <w:t>пунктами 2.1</w:t>
        </w:r>
      </w:hyperlink>
      <w:r>
        <w:t xml:space="preserve"> - </w:t>
      </w:r>
      <w:hyperlink w:anchor="P5659" w:history="1">
        <w:r>
          <w:rPr>
            <w:color w:val="0000FF"/>
          </w:rPr>
          <w:t>2.11</w:t>
        </w:r>
      </w:hyperlink>
      <w:r>
        <w:t xml:space="preserve"> настоящего Порядка.</w:t>
      </w:r>
    </w:p>
    <w:p w:rsidR="003672B8" w:rsidRDefault="003672B8" w:rsidP="003672B8">
      <w:pPr>
        <w:pStyle w:val="ConsPlusNormal"/>
        <w:spacing w:before="280"/>
        <w:ind w:firstLine="540"/>
        <w:jc w:val="both"/>
      </w:pPr>
      <w:r>
        <w:t>2.13. Основаниями для отказа получателю субсидии в предоставлении субсидии являются:</w:t>
      </w:r>
    </w:p>
    <w:p w:rsidR="003672B8" w:rsidRDefault="003672B8" w:rsidP="003672B8">
      <w:pPr>
        <w:pStyle w:val="ConsPlusNormal"/>
        <w:spacing w:before="280"/>
        <w:ind w:firstLine="540"/>
        <w:jc w:val="both"/>
      </w:pPr>
      <w:r>
        <w:t xml:space="preserve">а) несоответствие представленных получателем субсидии документов требованиям, определенным </w:t>
      </w:r>
      <w:hyperlink w:anchor="P5608"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3672B8" w:rsidRDefault="003672B8" w:rsidP="003672B8">
      <w:pPr>
        <w:pStyle w:val="ConsPlusNormal"/>
        <w:spacing w:before="280"/>
        <w:ind w:firstLine="540"/>
        <w:jc w:val="both"/>
      </w:pPr>
      <w:r>
        <w:t>б) недостоверность представленной получателем субсидии информации;</w:t>
      </w:r>
    </w:p>
    <w:p w:rsidR="003672B8" w:rsidRDefault="003672B8" w:rsidP="003672B8">
      <w:pPr>
        <w:pStyle w:val="ConsPlusNormal"/>
        <w:spacing w:before="280"/>
        <w:ind w:firstLine="540"/>
        <w:jc w:val="both"/>
      </w:pPr>
      <w:r>
        <w:t xml:space="preserve">в) несоответствие получателя субсидии требованиям, указанным в </w:t>
      </w:r>
      <w:hyperlink w:anchor="P5598" w:history="1">
        <w:r>
          <w:rPr>
            <w:color w:val="0000FF"/>
          </w:rPr>
          <w:t>пунктах 1.3</w:t>
        </w:r>
      </w:hyperlink>
      <w:r>
        <w:t xml:space="preserve">, </w:t>
      </w:r>
      <w:hyperlink w:anchor="P5671" w:history="1">
        <w:r>
          <w:rPr>
            <w:color w:val="0000FF"/>
          </w:rPr>
          <w:t>2.18</w:t>
        </w:r>
      </w:hyperlink>
      <w:r>
        <w:t xml:space="preserve"> и </w:t>
      </w:r>
      <w:hyperlink w:anchor="P5679" w:history="1">
        <w:r>
          <w:rPr>
            <w:color w:val="0000FF"/>
          </w:rPr>
          <w:t>2.19</w:t>
        </w:r>
      </w:hyperlink>
      <w:r>
        <w:t xml:space="preserve"> настоящего Порядка;</w:t>
      </w:r>
    </w:p>
    <w:p w:rsidR="003672B8" w:rsidRDefault="003672B8" w:rsidP="003672B8">
      <w:pPr>
        <w:pStyle w:val="ConsPlusNormal"/>
        <w:spacing w:before="280"/>
        <w:ind w:firstLine="540"/>
        <w:jc w:val="both"/>
      </w:pPr>
      <w:r>
        <w:t>г) предоставление заявки и документов после окончания установленного срока приема заявок;</w:t>
      </w:r>
    </w:p>
    <w:p w:rsidR="003672B8" w:rsidRDefault="003672B8" w:rsidP="003672B8">
      <w:pPr>
        <w:pStyle w:val="ConsPlusNormal"/>
        <w:spacing w:before="280"/>
        <w:ind w:firstLine="540"/>
        <w:jc w:val="both"/>
      </w:pPr>
      <w:r>
        <w:t xml:space="preserve">д) отсутствие факта признания победителем конкурсного отбора в соответствии с </w:t>
      </w:r>
      <w:hyperlink w:anchor="P5619" w:history="1">
        <w:r>
          <w:rPr>
            <w:color w:val="0000FF"/>
          </w:rPr>
          <w:t>пунктом 2.5</w:t>
        </w:r>
      </w:hyperlink>
      <w:r>
        <w:t xml:space="preserve"> настоящего Порядка.</w:t>
      </w:r>
    </w:p>
    <w:p w:rsidR="003672B8" w:rsidRDefault="003672B8" w:rsidP="003672B8">
      <w:pPr>
        <w:pStyle w:val="ConsPlusNormal"/>
        <w:spacing w:before="280"/>
        <w:ind w:firstLine="540"/>
        <w:jc w:val="both"/>
      </w:pPr>
      <w:r>
        <w:t>2.14.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3672B8" w:rsidRDefault="003672B8" w:rsidP="003672B8">
      <w:pPr>
        <w:pStyle w:val="ConsPlusNormal"/>
        <w:spacing w:before="280"/>
        <w:ind w:firstLine="540"/>
        <w:jc w:val="both"/>
      </w:pPr>
      <w:r>
        <w:t>2.15.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3672B8" w:rsidRDefault="003672B8" w:rsidP="003672B8">
      <w:pPr>
        <w:pStyle w:val="ConsPlusNormal"/>
        <w:spacing w:before="280"/>
        <w:ind w:firstLine="540"/>
        <w:jc w:val="both"/>
      </w:pPr>
      <w:r>
        <w:t xml:space="preserve">2.16. </w:t>
      </w:r>
      <w:proofErr w:type="gramStart"/>
      <w:r>
        <w:t xml:space="preserve">В течение пяти рабочих дней со дня подписания протокола о результатах проведения конкурсного отбора комитет принимает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w:t>
      </w:r>
      <w:r>
        <w:lastRenderedPageBreak/>
        <w:t>о необходимости заключения соглашения о предоставлении субсидии (далее - соглашение).</w:t>
      </w:r>
      <w:proofErr w:type="gramEnd"/>
    </w:p>
    <w:p w:rsidR="003672B8" w:rsidRDefault="003672B8" w:rsidP="003672B8">
      <w:pPr>
        <w:pStyle w:val="ConsPlusNormal"/>
        <w:spacing w:before="280"/>
        <w:ind w:firstLine="540"/>
        <w:jc w:val="both"/>
      </w:pPr>
      <w:r>
        <w:t>2.17.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3672B8" w:rsidRDefault="003672B8" w:rsidP="003672B8">
      <w:pPr>
        <w:pStyle w:val="ConsPlusNormal"/>
        <w:spacing w:before="280"/>
        <w:ind w:firstLine="540"/>
        <w:jc w:val="both"/>
      </w:pPr>
      <w:bookmarkStart w:id="8" w:name="P5671"/>
      <w:bookmarkEnd w:id="8"/>
      <w:r>
        <w:t>2.18. Право на получение субсидии имеют некоммерческие организации на дату подачи заявок, соответствующих следующим требованиям:</w:t>
      </w:r>
    </w:p>
    <w:p w:rsidR="003672B8" w:rsidRDefault="003672B8" w:rsidP="003672B8">
      <w:pPr>
        <w:pStyle w:val="ConsPlusNormal"/>
        <w:spacing w:before="28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72B8" w:rsidRDefault="003672B8" w:rsidP="003672B8">
      <w:pPr>
        <w:pStyle w:val="ConsPlusNormal"/>
        <w:spacing w:before="280"/>
        <w:ind w:firstLine="540"/>
        <w:jc w:val="both"/>
      </w:pPr>
      <w:r>
        <w:t xml:space="preserve">б) у получателя субсидии 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3672B8" w:rsidRDefault="003672B8" w:rsidP="003672B8">
      <w:pPr>
        <w:pStyle w:val="ConsPlusNormal"/>
        <w:spacing w:before="280"/>
        <w:ind w:firstLine="540"/>
        <w:jc w:val="both"/>
      </w:pPr>
      <w: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3672B8" w:rsidRDefault="003672B8" w:rsidP="003672B8">
      <w:pPr>
        <w:pStyle w:val="ConsPlusNormal"/>
        <w:spacing w:before="280"/>
        <w:ind w:firstLine="540"/>
        <w:jc w:val="both"/>
      </w:pPr>
      <w:r>
        <w:t>г) уставная деятельность получателя субсидии направлена на реализацию проектов развития и поддержки народного творчества;</w:t>
      </w:r>
    </w:p>
    <w:p w:rsidR="003672B8" w:rsidRDefault="003672B8" w:rsidP="003672B8">
      <w:pPr>
        <w:pStyle w:val="ConsPlusNormal"/>
        <w:spacing w:before="280"/>
        <w:ind w:firstLine="540"/>
        <w:jc w:val="both"/>
      </w:pPr>
      <w:r>
        <w:t>д) получатель субсидии не имеет задолженности перед работниками по заработной плате;</w:t>
      </w:r>
    </w:p>
    <w:p w:rsidR="003672B8" w:rsidRDefault="003672B8" w:rsidP="003672B8">
      <w:pPr>
        <w:pStyle w:val="ConsPlusNormal"/>
        <w:spacing w:before="280"/>
        <w:ind w:firstLine="540"/>
        <w:jc w:val="both"/>
      </w:pPr>
      <w:r>
        <w:t>е) заработная плата работников получателя субсидии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3672B8" w:rsidRDefault="003672B8" w:rsidP="003672B8">
      <w:pPr>
        <w:pStyle w:val="ConsPlusNormal"/>
        <w:spacing w:before="280"/>
        <w:ind w:firstLine="540"/>
        <w:jc w:val="both"/>
      </w:pPr>
      <w:r>
        <w:t xml:space="preserve">ж)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lastRenderedPageBreak/>
        <w:t xml:space="preserve">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672B8" w:rsidRDefault="003672B8" w:rsidP="003672B8">
      <w:pPr>
        <w:pStyle w:val="ConsPlusNormal"/>
        <w:spacing w:before="280"/>
        <w:ind w:firstLine="540"/>
        <w:jc w:val="both"/>
      </w:pPr>
      <w:bookmarkStart w:id="9" w:name="P5679"/>
      <w:bookmarkEnd w:id="9"/>
      <w:r>
        <w:t xml:space="preserve">2.19. Условием предоставления субсидии являются соответствие получателя субсидии требованиям, предусмотренным </w:t>
      </w:r>
      <w:hyperlink w:anchor="P5671" w:history="1">
        <w:r>
          <w:rPr>
            <w:color w:val="0000FF"/>
          </w:rPr>
          <w:t>пунктом 2.18</w:t>
        </w:r>
      </w:hyperlink>
      <w:r>
        <w:t xml:space="preserve"> настоящего Порядка, а также заключение соглашения в соответствии с типовой формой, утвержденной правовым актом Комитета финансов Ленинградской области, предусматривающего в том числе:</w:t>
      </w:r>
    </w:p>
    <w:p w:rsidR="003672B8" w:rsidRDefault="003672B8" w:rsidP="003672B8">
      <w:pPr>
        <w:pStyle w:val="ConsPlusNormal"/>
        <w:spacing w:before="280"/>
        <w:ind w:firstLine="540"/>
        <w:jc w:val="both"/>
      </w:pPr>
      <w:r>
        <w:t>а) показатели результативности предоставления субсидии;</w:t>
      </w:r>
    </w:p>
    <w:p w:rsidR="003672B8" w:rsidRDefault="003672B8" w:rsidP="003672B8">
      <w:pPr>
        <w:pStyle w:val="ConsPlusNormal"/>
        <w:spacing w:before="280"/>
        <w:ind w:firstLine="540"/>
        <w:jc w:val="both"/>
      </w:pPr>
      <w:r>
        <w:t>б) обязательство получателя субсидии по представлению главному распорядителю бюджетных сре</w:t>
      </w:r>
      <w:proofErr w:type="gramStart"/>
      <w:r>
        <w:t>дств пл</w:t>
      </w:r>
      <w:proofErr w:type="gramEnd"/>
      <w:r>
        <w:t>ана мероприятий ("дорожной карты") по достижению показателей результативности предоставления субсидии;</w:t>
      </w:r>
    </w:p>
    <w:p w:rsidR="003672B8" w:rsidRDefault="003672B8" w:rsidP="003672B8">
      <w:pPr>
        <w:pStyle w:val="ConsPlusNormal"/>
        <w:spacing w:before="280"/>
        <w:ind w:firstLine="540"/>
        <w:jc w:val="both"/>
      </w:pPr>
      <w:r>
        <w:t>в) обязательство получателя субсидии по достижению показателей результативности предоставления субсидии, указанных в соглашении;</w:t>
      </w:r>
    </w:p>
    <w:p w:rsidR="003672B8" w:rsidRDefault="003672B8" w:rsidP="003672B8">
      <w:pPr>
        <w:pStyle w:val="ConsPlusNormal"/>
        <w:spacing w:before="280"/>
        <w:ind w:firstLine="540"/>
        <w:jc w:val="both"/>
      </w:pPr>
      <w:r>
        <w:t>г) 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3672B8" w:rsidRDefault="003672B8" w:rsidP="003672B8">
      <w:pPr>
        <w:pStyle w:val="ConsPlusNormal"/>
        <w:spacing w:before="280"/>
        <w:ind w:firstLine="540"/>
        <w:jc w:val="both"/>
      </w:pPr>
      <w:r>
        <w:t>д) 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3672B8" w:rsidRDefault="003672B8" w:rsidP="003672B8">
      <w:pPr>
        <w:pStyle w:val="ConsPlusNormal"/>
        <w:spacing w:before="280"/>
        <w:ind w:firstLine="540"/>
        <w:jc w:val="both"/>
      </w:pPr>
      <w:r>
        <w:t>е) обязательство главного распорядителя бюджетных средств по размещению отчетности о достижении показателей результативности предоставления субсидий на официальном сайте Администрации Ленинградской области;</w:t>
      </w:r>
    </w:p>
    <w:p w:rsidR="003672B8" w:rsidRDefault="003672B8" w:rsidP="003672B8">
      <w:pPr>
        <w:pStyle w:val="ConsPlusNormal"/>
        <w:spacing w:before="280"/>
        <w:ind w:firstLine="540"/>
        <w:jc w:val="both"/>
      </w:pPr>
      <w:r>
        <w:t>ж) 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соответствующим порядком предоставления субсидий и заключенным соглашением;</w:t>
      </w:r>
    </w:p>
    <w:p w:rsidR="003672B8" w:rsidRDefault="003672B8" w:rsidP="003672B8">
      <w:pPr>
        <w:pStyle w:val="ConsPlusNormal"/>
        <w:spacing w:before="280"/>
        <w:ind w:firstLine="540"/>
        <w:jc w:val="both"/>
      </w:pPr>
      <w:r>
        <w:t>з) 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3672B8" w:rsidRDefault="003672B8" w:rsidP="003672B8">
      <w:pPr>
        <w:pStyle w:val="ConsPlusNormal"/>
        <w:spacing w:before="280"/>
        <w:ind w:firstLine="540"/>
        <w:jc w:val="both"/>
      </w:pPr>
      <w:r>
        <w:lastRenderedPageBreak/>
        <w:t>и)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3672B8" w:rsidRDefault="003672B8" w:rsidP="003672B8">
      <w:pPr>
        <w:pStyle w:val="ConsPlusNormal"/>
        <w:spacing w:before="280"/>
        <w:ind w:firstLine="540"/>
        <w:jc w:val="both"/>
      </w:pPr>
      <w:r>
        <w:t>к) обязательство получателя субсидии по недопущению образования задолженности по выплате заработной платы работникам;</w:t>
      </w:r>
    </w:p>
    <w:p w:rsidR="003672B8" w:rsidRDefault="003672B8" w:rsidP="003672B8">
      <w:pPr>
        <w:pStyle w:val="ConsPlusNormal"/>
        <w:spacing w:before="280"/>
        <w:ind w:firstLine="540"/>
        <w:jc w:val="both"/>
      </w:pPr>
      <w:r>
        <w:t>л) обязательство получателя субсидии по выплате заработной платы работникам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3672B8" w:rsidRDefault="003672B8" w:rsidP="003672B8">
      <w:pPr>
        <w:pStyle w:val="ConsPlusNormal"/>
        <w:spacing w:before="280"/>
        <w:ind w:firstLine="540"/>
        <w:jc w:val="both"/>
      </w:pPr>
      <w:r>
        <w:t>м) запрет приобретения за счет полученных средств иностранной валюты.</w:t>
      </w:r>
    </w:p>
    <w:p w:rsidR="003672B8" w:rsidRDefault="003672B8" w:rsidP="003672B8">
      <w:pPr>
        <w:pStyle w:val="ConsPlusNormal"/>
        <w:spacing w:before="280"/>
        <w:ind w:firstLine="540"/>
        <w:jc w:val="both"/>
      </w:pPr>
      <w:r>
        <w:t>2.20.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главному распорядителю бюджетных средств на соответствующие цели.</w:t>
      </w:r>
    </w:p>
    <w:p w:rsidR="003672B8" w:rsidRDefault="003672B8" w:rsidP="003672B8">
      <w:pPr>
        <w:pStyle w:val="ConsPlusNormal"/>
        <w:spacing w:before="280"/>
        <w:ind w:firstLine="540"/>
        <w:jc w:val="both"/>
      </w:pPr>
      <w:r>
        <w:t>2.21. Средства субсидии могут быть направлены на следующие виды расходов:</w:t>
      </w:r>
    </w:p>
    <w:p w:rsidR="003672B8" w:rsidRDefault="003672B8" w:rsidP="003672B8">
      <w:pPr>
        <w:pStyle w:val="ConsPlusNormal"/>
        <w:spacing w:before="280"/>
        <w:ind w:firstLine="540"/>
        <w:jc w:val="both"/>
      </w:pPr>
      <w:r>
        <w:t>1) оплату труда персонала, привлекаемого для подготовки и проведения творческих проектов;</w:t>
      </w:r>
    </w:p>
    <w:p w:rsidR="003672B8" w:rsidRDefault="003672B8" w:rsidP="003672B8">
      <w:pPr>
        <w:pStyle w:val="ConsPlusNormal"/>
        <w:spacing w:before="280"/>
        <w:ind w:firstLine="540"/>
        <w:jc w:val="both"/>
      </w:pPr>
      <w:r>
        <w:t>2) оплату аренды помещения;</w:t>
      </w:r>
    </w:p>
    <w:p w:rsidR="003672B8" w:rsidRDefault="003672B8" w:rsidP="003672B8">
      <w:pPr>
        <w:pStyle w:val="ConsPlusNormal"/>
        <w:spacing w:before="280"/>
        <w:ind w:firstLine="540"/>
        <w:jc w:val="both"/>
      </w:pPr>
      <w:r>
        <w:t>3) проезд;</w:t>
      </w:r>
    </w:p>
    <w:p w:rsidR="003672B8" w:rsidRDefault="003672B8" w:rsidP="003672B8">
      <w:pPr>
        <w:pStyle w:val="ConsPlusNormal"/>
        <w:spacing w:before="280"/>
        <w:ind w:firstLine="540"/>
        <w:jc w:val="both"/>
      </w:pPr>
      <w:r>
        <w:t>4) питание;</w:t>
      </w:r>
    </w:p>
    <w:p w:rsidR="003672B8" w:rsidRDefault="003672B8" w:rsidP="003672B8">
      <w:pPr>
        <w:pStyle w:val="ConsPlusNormal"/>
        <w:spacing w:before="280"/>
        <w:ind w:firstLine="540"/>
        <w:jc w:val="both"/>
      </w:pPr>
      <w:r>
        <w:t>5) обеспечение доставки имущества коллективов, артистов, музыкантов:</w:t>
      </w:r>
    </w:p>
    <w:p w:rsidR="003672B8" w:rsidRDefault="003672B8" w:rsidP="003672B8">
      <w:pPr>
        <w:pStyle w:val="ConsPlusNormal"/>
        <w:spacing w:before="280"/>
        <w:ind w:firstLine="540"/>
        <w:jc w:val="both"/>
      </w:pPr>
      <w:r>
        <w:t>6) транспортировку декораций, музыкальных инструментов, костюмов;</w:t>
      </w:r>
    </w:p>
    <w:p w:rsidR="003672B8" w:rsidRDefault="003672B8" w:rsidP="003672B8">
      <w:pPr>
        <w:pStyle w:val="ConsPlusNormal"/>
        <w:spacing w:before="280"/>
        <w:ind w:firstLine="540"/>
        <w:jc w:val="both"/>
      </w:pPr>
      <w:r>
        <w:t>7) аренду сценических площадок и помещений для реализации творческих проектов;</w:t>
      </w:r>
    </w:p>
    <w:p w:rsidR="003672B8" w:rsidRDefault="003672B8" w:rsidP="003672B8">
      <w:pPr>
        <w:pStyle w:val="ConsPlusNormal"/>
        <w:spacing w:before="280"/>
        <w:ind w:firstLine="540"/>
        <w:jc w:val="both"/>
      </w:pPr>
      <w:r>
        <w:t>8) аренду звукового оборудования, светового оборудования, видеопроекционного оборудования, оргтехники;</w:t>
      </w:r>
    </w:p>
    <w:p w:rsidR="003672B8" w:rsidRDefault="003672B8" w:rsidP="003672B8">
      <w:pPr>
        <w:pStyle w:val="ConsPlusNormal"/>
        <w:spacing w:before="280"/>
        <w:ind w:firstLine="540"/>
        <w:jc w:val="both"/>
      </w:pPr>
      <w:r>
        <w:t>9) художественное, рекламное оформление арендованных площадок;</w:t>
      </w:r>
    </w:p>
    <w:p w:rsidR="003672B8" w:rsidRDefault="003672B8" w:rsidP="003672B8">
      <w:pPr>
        <w:pStyle w:val="ConsPlusNormal"/>
        <w:spacing w:before="280"/>
        <w:ind w:firstLine="540"/>
        <w:jc w:val="both"/>
      </w:pPr>
      <w:r>
        <w:t xml:space="preserve">10) аренду сценического оборудования, элементов оформления </w:t>
      </w:r>
      <w:r>
        <w:lastRenderedPageBreak/>
        <w:t>сценической площадки, сборку и разборку оборудования и организацию зрительских мест;</w:t>
      </w:r>
    </w:p>
    <w:p w:rsidR="003672B8" w:rsidRDefault="003672B8" w:rsidP="003672B8">
      <w:pPr>
        <w:pStyle w:val="ConsPlusNormal"/>
        <w:spacing w:before="280"/>
        <w:ind w:firstLine="540"/>
        <w:jc w:val="both"/>
      </w:pPr>
      <w:r>
        <w:t xml:space="preserve">11) создание декораций и костюмов, театрального реквизита, бутафории, грима, постижерных изделий, театральных кукол, необходимых для создания </w:t>
      </w:r>
      <w:proofErr w:type="gramStart"/>
      <w:r>
        <w:t>и(</w:t>
      </w:r>
      <w:proofErr w:type="gramEnd"/>
      <w:r>
        <w:t>или) исполнения произведений;</w:t>
      </w:r>
    </w:p>
    <w:p w:rsidR="003672B8" w:rsidRDefault="003672B8" w:rsidP="003672B8">
      <w:pPr>
        <w:pStyle w:val="ConsPlusNormal"/>
        <w:spacing w:before="280"/>
        <w:ind w:firstLine="540"/>
        <w:jc w:val="both"/>
      </w:pPr>
      <w:r>
        <w:t>12) подготовку информационно-методических материалов (мастер-классы, лаборатории, симпозиумы, конференции, дискуссии);</w:t>
      </w:r>
    </w:p>
    <w:p w:rsidR="003672B8" w:rsidRDefault="003672B8" w:rsidP="003672B8">
      <w:pPr>
        <w:pStyle w:val="ConsPlusNormal"/>
        <w:spacing w:before="280"/>
        <w:ind w:firstLine="540"/>
        <w:jc w:val="both"/>
      </w:pPr>
      <w:r>
        <w:t>13) подготовку нотного материала;</w:t>
      </w:r>
    </w:p>
    <w:p w:rsidR="003672B8" w:rsidRDefault="003672B8" w:rsidP="003672B8">
      <w:pPr>
        <w:pStyle w:val="ConsPlusNormal"/>
        <w:spacing w:before="280"/>
        <w:ind w:firstLine="540"/>
        <w:jc w:val="both"/>
      </w:pPr>
      <w:r>
        <w:t>14) разработку дизайна и изготовление рекламно-полиграфической продукции;</w:t>
      </w:r>
    </w:p>
    <w:p w:rsidR="003672B8" w:rsidRDefault="003672B8" w:rsidP="003672B8">
      <w:pPr>
        <w:pStyle w:val="ConsPlusNormal"/>
        <w:spacing w:before="280"/>
        <w:ind w:firstLine="540"/>
        <w:jc w:val="both"/>
      </w:pPr>
      <w:r>
        <w:t>15) проведение рекламной кампании, в том числе изготовление и размещение заставок, рекламных роликов, организация пресс-конференций и брифингов;</w:t>
      </w:r>
    </w:p>
    <w:p w:rsidR="003672B8" w:rsidRDefault="003672B8" w:rsidP="003672B8">
      <w:pPr>
        <w:pStyle w:val="ConsPlusNormal"/>
        <w:spacing w:before="280"/>
        <w:ind w:firstLine="540"/>
        <w:jc w:val="both"/>
      </w:pPr>
      <w:r>
        <w:t>16) изготовление и распространение рекламно-сувенирной продукции с логотипами проводимых творческих проектов;</w:t>
      </w:r>
    </w:p>
    <w:p w:rsidR="003672B8" w:rsidRDefault="003672B8" w:rsidP="003672B8">
      <w:pPr>
        <w:pStyle w:val="ConsPlusNormal"/>
        <w:spacing w:before="280"/>
        <w:ind w:firstLine="540"/>
        <w:jc w:val="both"/>
      </w:pPr>
      <w:r>
        <w:t>17) печать цифровых изображений;</w:t>
      </w:r>
    </w:p>
    <w:p w:rsidR="003672B8" w:rsidRDefault="003672B8" w:rsidP="003672B8">
      <w:pPr>
        <w:pStyle w:val="ConsPlusNormal"/>
        <w:spacing w:before="280"/>
        <w:ind w:firstLine="540"/>
        <w:jc w:val="both"/>
      </w:pPr>
      <w:r>
        <w:t>18) транспортировку экспонатов;</w:t>
      </w:r>
    </w:p>
    <w:p w:rsidR="003672B8" w:rsidRDefault="003672B8" w:rsidP="003672B8">
      <w:pPr>
        <w:pStyle w:val="ConsPlusNormal"/>
        <w:spacing w:before="280"/>
        <w:ind w:firstLine="540"/>
        <w:jc w:val="both"/>
      </w:pPr>
      <w:r>
        <w:t>19) оформление произведений в рамы и паспарту;</w:t>
      </w:r>
    </w:p>
    <w:p w:rsidR="003672B8" w:rsidRDefault="003672B8" w:rsidP="003672B8">
      <w:pPr>
        <w:pStyle w:val="ConsPlusNormal"/>
        <w:spacing w:before="280"/>
        <w:ind w:firstLine="540"/>
        <w:jc w:val="both"/>
      </w:pPr>
      <w:r>
        <w:t>20) приобретение расходных материалов;</w:t>
      </w:r>
    </w:p>
    <w:p w:rsidR="003672B8" w:rsidRDefault="003672B8" w:rsidP="003672B8">
      <w:pPr>
        <w:pStyle w:val="ConsPlusNormal"/>
        <w:spacing w:before="280"/>
        <w:ind w:firstLine="540"/>
        <w:jc w:val="both"/>
      </w:pPr>
      <w:r>
        <w:t>21) перевод текстов информационных материалов на иностранные языки;</w:t>
      </w:r>
    </w:p>
    <w:p w:rsidR="003672B8" w:rsidRDefault="003672B8" w:rsidP="003672B8">
      <w:pPr>
        <w:pStyle w:val="ConsPlusNormal"/>
        <w:spacing w:before="280"/>
        <w:ind w:firstLine="540"/>
        <w:jc w:val="both"/>
      </w:pPr>
      <w:r>
        <w:t>22) аренду выставочного оборудования;</w:t>
      </w:r>
    </w:p>
    <w:p w:rsidR="003672B8" w:rsidRDefault="003672B8" w:rsidP="003672B8">
      <w:pPr>
        <w:pStyle w:val="ConsPlusNormal"/>
        <w:spacing w:before="280"/>
        <w:ind w:firstLine="540"/>
        <w:jc w:val="both"/>
      </w:pPr>
      <w:r>
        <w:t>23) оцифровку изображений;</w:t>
      </w:r>
    </w:p>
    <w:p w:rsidR="003672B8" w:rsidRDefault="003672B8" w:rsidP="003672B8">
      <w:pPr>
        <w:pStyle w:val="ConsPlusNormal"/>
        <w:spacing w:before="280"/>
        <w:ind w:firstLine="540"/>
        <w:jc w:val="both"/>
      </w:pPr>
      <w:r>
        <w:t>24) реставрацию произведений;</w:t>
      </w:r>
    </w:p>
    <w:p w:rsidR="003672B8" w:rsidRDefault="003672B8" w:rsidP="003672B8">
      <w:pPr>
        <w:pStyle w:val="ConsPlusNormal"/>
        <w:spacing w:before="280"/>
        <w:ind w:firstLine="540"/>
        <w:jc w:val="both"/>
      </w:pPr>
      <w:r>
        <w:t>25) оплату налогов и иных сборов, установленных законодательством Российской Федерации.</w:t>
      </w:r>
    </w:p>
    <w:p w:rsidR="003672B8" w:rsidRDefault="003672B8" w:rsidP="003672B8">
      <w:pPr>
        <w:pStyle w:val="ConsPlusNormal"/>
        <w:spacing w:before="280"/>
        <w:ind w:firstLine="540"/>
        <w:jc w:val="both"/>
      </w:pPr>
      <w:r>
        <w:t>2.22. Перечисление субсидии осуществляется на расчетный счет, открытый в подразделении расчетной сети Центрального банка Российской Федерации или кредитных организациях получателем субсидии, в соответствии с соглашением в течение 10 рабочих дней со дня заключения соглашения.</w:t>
      </w:r>
    </w:p>
    <w:p w:rsidR="003672B8" w:rsidRDefault="003672B8" w:rsidP="003672B8">
      <w:pPr>
        <w:pStyle w:val="ConsPlusNormal"/>
      </w:pPr>
    </w:p>
    <w:p w:rsidR="003672B8" w:rsidRDefault="003672B8" w:rsidP="003672B8">
      <w:pPr>
        <w:pStyle w:val="ConsPlusNormal"/>
        <w:jc w:val="center"/>
        <w:outlineLvl w:val="2"/>
      </w:pPr>
      <w:r>
        <w:t>3. Требования к отчетности</w:t>
      </w:r>
    </w:p>
    <w:p w:rsidR="003672B8" w:rsidRDefault="003672B8" w:rsidP="003672B8">
      <w:pPr>
        <w:pStyle w:val="ConsPlusNormal"/>
      </w:pPr>
    </w:p>
    <w:p w:rsidR="003672B8" w:rsidRDefault="003672B8" w:rsidP="003672B8">
      <w:pPr>
        <w:pStyle w:val="ConsPlusNormal"/>
        <w:ind w:firstLine="540"/>
        <w:jc w:val="both"/>
      </w:pPr>
      <w:r>
        <w:t>Получатели субсидий ежеквартально не позднее 5-го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3672B8" w:rsidRDefault="003672B8" w:rsidP="003672B8">
      <w:pPr>
        <w:pStyle w:val="ConsPlusNormal"/>
      </w:pPr>
    </w:p>
    <w:p w:rsidR="003672B8" w:rsidRDefault="003672B8" w:rsidP="003672B8">
      <w:pPr>
        <w:pStyle w:val="ConsPlusNormal"/>
        <w:jc w:val="center"/>
        <w:outlineLvl w:val="2"/>
      </w:pPr>
      <w:r>
        <w:t xml:space="preserve">4. Требования об осуществлении </w:t>
      </w:r>
      <w:proofErr w:type="gramStart"/>
      <w:r>
        <w:t>контроля за</w:t>
      </w:r>
      <w:proofErr w:type="gramEnd"/>
      <w:r>
        <w:t xml:space="preserve"> соблюдением</w:t>
      </w:r>
    </w:p>
    <w:p w:rsidR="003672B8" w:rsidRDefault="003672B8" w:rsidP="003672B8">
      <w:pPr>
        <w:pStyle w:val="ConsPlusNormal"/>
        <w:jc w:val="center"/>
      </w:pPr>
      <w:r>
        <w:t>условий, целей и порядка предоставления субсидий</w:t>
      </w:r>
    </w:p>
    <w:p w:rsidR="003672B8" w:rsidRDefault="003672B8" w:rsidP="003672B8">
      <w:pPr>
        <w:pStyle w:val="ConsPlusNormal"/>
        <w:jc w:val="center"/>
      </w:pPr>
      <w:r>
        <w:t>и ответственность за их нарушение</w:t>
      </w:r>
    </w:p>
    <w:p w:rsidR="003672B8" w:rsidRDefault="003672B8" w:rsidP="003672B8">
      <w:pPr>
        <w:pStyle w:val="ConsPlusNormal"/>
      </w:pPr>
    </w:p>
    <w:p w:rsidR="003672B8" w:rsidRDefault="003672B8" w:rsidP="003672B8">
      <w:pPr>
        <w:pStyle w:val="ConsPlusNormal"/>
        <w:ind w:firstLine="540"/>
        <w:jc w:val="both"/>
      </w:pPr>
      <w:r>
        <w:t>4.1. Комитет, а также орган государственного финансового контроля Ленинградской области осуществляют проверки соблюдения условий, целей и порядка предоставления субсидий их получателями.</w:t>
      </w:r>
    </w:p>
    <w:p w:rsidR="003672B8" w:rsidRDefault="003672B8" w:rsidP="003672B8">
      <w:pPr>
        <w:pStyle w:val="ConsPlusNormal"/>
        <w:spacing w:before="280"/>
        <w:ind w:firstLine="540"/>
        <w:jc w:val="both"/>
      </w:pPr>
      <w:r>
        <w:t xml:space="preserve">4.2. В случае установления по итогам проверок, проведенных главным распорядителем бюджетных средств,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w:t>
      </w:r>
      <w:proofErr w:type="gramStart"/>
      <w:r>
        <w:t>и(</w:t>
      </w:r>
      <w:proofErr w:type="gramEnd"/>
      <w:r>
        <w:t xml:space="preserve">или) </w:t>
      </w:r>
      <w:proofErr w:type="spellStart"/>
      <w:r>
        <w:t>недостижения</w:t>
      </w:r>
      <w:proofErr w:type="spellEnd"/>
      <w:r>
        <w:t xml:space="preserve">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 осуществить возврат средств в областной бюджет Ленинградской области в добровольном порядке. Если по </w:t>
      </w:r>
      <w:proofErr w:type="gramStart"/>
      <w:r>
        <w:t>истечении</w:t>
      </w:r>
      <w:proofErr w:type="gramEnd"/>
      <w:r>
        <w:t xml:space="preserve"> указанного срока получатель субсидий отказывается добровольно возвращать средства субсидии, взыскание денежных средств осуществляется в судебном порядке.</w:t>
      </w:r>
    </w:p>
    <w:p w:rsidR="003672B8" w:rsidRDefault="003672B8" w:rsidP="003672B8">
      <w:pPr>
        <w:pStyle w:val="ConsPlusNormal"/>
        <w:spacing w:before="280"/>
        <w:ind w:firstLine="540"/>
        <w:jc w:val="both"/>
      </w:pPr>
      <w:r>
        <w:t>4.3. Субсидии, не использованные в текущем финансовом году, подлежат возврату в областной бюджет Ленинградской области.</w:t>
      </w:r>
    </w:p>
    <w:p w:rsidR="003672B8" w:rsidRDefault="003672B8" w:rsidP="003672B8">
      <w:pPr>
        <w:pStyle w:val="ConsPlusNormal"/>
      </w:pPr>
    </w:p>
    <w:p w:rsidR="003672B8" w:rsidRDefault="003672B8" w:rsidP="003672B8">
      <w:pPr>
        <w:pStyle w:val="ConsPlusNormal"/>
        <w:ind w:firstLine="540"/>
        <w:jc w:val="both"/>
      </w:pPr>
    </w:p>
    <w:p w:rsidR="003672B8" w:rsidRDefault="003672B8" w:rsidP="003672B8">
      <w:pPr>
        <w:pStyle w:val="ConsPlusNormal"/>
        <w:ind w:firstLine="540"/>
        <w:jc w:val="both"/>
      </w:pPr>
    </w:p>
    <w:p w:rsidR="00A1773C" w:rsidRDefault="00A1773C"/>
    <w:sectPr w:rsidR="00A17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46"/>
    <w:rsid w:val="003672B8"/>
    <w:rsid w:val="007F2EBD"/>
    <w:rsid w:val="00A1773C"/>
    <w:rsid w:val="00BA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2B8"/>
    <w:pPr>
      <w:spacing w:after="0" w:line="240" w:lineRule="auto"/>
      <w:ind w:firstLine="709"/>
      <w:jc w:val="both"/>
    </w:pPr>
    <w:rPr>
      <w:rFonts w:ascii="Times New Roman" w:hAnsi="Times New Roman" w:cs="Times New Roman"/>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2B8"/>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2B8"/>
    <w:pPr>
      <w:spacing w:after="0" w:line="240" w:lineRule="auto"/>
      <w:ind w:firstLine="709"/>
      <w:jc w:val="both"/>
    </w:pPr>
    <w:rPr>
      <w:rFonts w:ascii="Times New Roman" w:hAnsi="Times New Roman" w:cs="Times New Roman"/>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2B8"/>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DA03B2F1BA08CE31A11F5A025ED3646B159DB2141652163C3097A440EDD5AAB20AAA68E4411154AYAR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2989</Words>
  <Characters>17043</Characters>
  <Application>Microsoft Office Word</Application>
  <DocSecurity>0</DocSecurity>
  <Lines>142</Lines>
  <Paragraphs>39</Paragraphs>
  <ScaleCrop>false</ScaleCrop>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Полевая</dc:creator>
  <cp:keywords/>
  <dc:description/>
  <cp:lastModifiedBy>Полевая</cp:lastModifiedBy>
  <cp:revision>4</cp:revision>
  <dcterms:created xsi:type="dcterms:W3CDTF">2019-01-23T08:04:00Z</dcterms:created>
  <dcterms:modified xsi:type="dcterms:W3CDTF">2019-02-20T09:26:00Z</dcterms:modified>
</cp:coreProperties>
</file>