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программе...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И ПРЕДОСТАВЛЕНИЯ ИЗ ОБЛАСТНОГО БЮДЖЕТА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СУБСИДИЙ НЕКОММЕРЧЕСКИМ ОРГАНИЗАЦИЯМ,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 ЯВЛЯЮЩИМСЯ ГОСУДАРСТВЕННЫМИ (МУНИЦИПАЛЬНЫМИ)</w:t>
      </w:r>
      <w:proofErr w:type="gramEnd"/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УЧРЕЖДЕНИЯМИ, НА РЕАЛИЗАЦИЮ ПРОЕКТОВ, НАПРАВЛЕННЫХ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ФОРМИРОВАНИЕ КОМФОРТНОЙ ТУРИСТСКОЙ СРЕДЫ НА ТЕРРИТОРИИ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ОБЛАСТИ, В РАМКАХ ГОСУДАРСТВЕННОЙ ПРОГРАММЫ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ЛЕНИНГРАДСКОЙ ОБЛАСТИ "РАЗВИТИЕ </w:t>
      </w:r>
      <w:proofErr w:type="gramStart"/>
      <w:r>
        <w:rPr>
          <w:rFonts w:ascii="Calibri" w:hAnsi="Calibri" w:cs="Calibri"/>
          <w:b/>
          <w:bCs/>
        </w:rPr>
        <w:t>ВНУТРЕННЕГО</w:t>
      </w:r>
      <w:proofErr w:type="gramEnd"/>
      <w:r>
        <w:rPr>
          <w:rFonts w:ascii="Calibri" w:hAnsi="Calibri" w:cs="Calibri"/>
          <w:b/>
          <w:bCs/>
        </w:rPr>
        <w:t xml:space="preserve"> И ВЪЕЗДНОГО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ТУРИЗМА В ЛЕНИНГРАДСКОЙ ОБЛАСТИ"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Общие положения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основного мероприятия "Создание туристской инфраструктуры и государственная поддержка проектов, направленных на формирование комфортной туристской среды" подпрограммы "Формирование комфортной туристской среды" государственной</w:t>
      </w:r>
      <w:proofErr w:type="gramEnd"/>
      <w:r>
        <w:rPr>
          <w:rFonts w:ascii="Calibri" w:hAnsi="Calibri" w:cs="Calibri"/>
        </w:rPr>
        <w:t xml:space="preserve"> программы Ленинградской области "Развитие внутреннего и въездного туризма в Ленинградской области" (далее - субсидии, проекты).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Порядке применяются следующие основные понятия: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распорядитель бюджетных средств - комитет Ленинградской области по туризму (далее - комитет);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экспертный совет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конкурсный отбор -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1.3. Субсидии предоставляются некоммерческим организациям в целях финансового обеспечения затрат некоммерческих организаций на реализацию проектов, направленных на формирование комфортной туристской среды на территории Ленинградской области.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доведенных лимитов бюджетных обязательств, предусмотренных комитету на текущий финансовый год.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ar21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Порядка, уставные </w:t>
      </w:r>
      <w:r>
        <w:rPr>
          <w:rFonts w:ascii="Calibri" w:hAnsi="Calibri" w:cs="Calibri"/>
        </w:rPr>
        <w:lastRenderedPageBreak/>
        <w:t xml:space="preserve">цели и виды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которых направлены на формирование комфортной туристской среды на территории Ленинградской области (далее - соискатели субсидий, получатели субсидий).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1.6. Критерии отбора соискателей субсидий: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 соискателя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имеющих следующие характеристики: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 от общей суммы расходов на реализацию проекта (объем внебюджетного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проекта);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проекта после завершения финансирования за счет предоставленной субсидии;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инновационность</w:t>
      </w:r>
      <w:proofErr w:type="spellEnd"/>
      <w:r>
        <w:rPr>
          <w:rFonts w:ascii="Calibri" w:hAnsi="Calibri" w:cs="Calibri"/>
        </w:rPr>
        <w:t xml:space="preserve"> проекта в заявленной сфере;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проекта (характеристика проекта в заявленной сфере);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охватываемых при реализации проекта;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заявленные в проекте финансовые требования (расходы) экономически обоснованы и целесообразны;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плана мероприятий проекта;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соискателя информационного ресурса о его деятельности и периодичность его обновления;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у соискателя необходимых для целей предоставления субсидии материально-технических и кадровых ресурсов.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Условия и порядок предоставления субсидий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2.1. Субсидии предоставляются при соблюдении следующих условий: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соответствие соискателя требованиям, установленным </w:t>
      </w:r>
      <w:hyperlink w:anchor="Par23" w:history="1">
        <w:r>
          <w:rPr>
            <w:rFonts w:ascii="Calibri" w:hAnsi="Calibri" w:cs="Calibri"/>
            <w:color w:val="0000FF"/>
          </w:rPr>
          <w:t>пунктами 1.5</w:t>
        </w:r>
      </w:hyperlink>
      <w:r>
        <w:rPr>
          <w:rFonts w:ascii="Calibri" w:hAnsi="Calibri" w:cs="Calibri"/>
        </w:rPr>
        <w:t xml:space="preserve"> и </w:t>
      </w:r>
      <w:hyperlink w:anchor="Par24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соответствие соискателя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соискатель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соискатель не имеет просроченной задолженности по возврату в бюджет Ленинградской области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соискателя отсутствует проведение процедуры реорганизации, ликвидации, банкротства, приостановления или ограничения на осуществление хозяйственной деятельности,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соискатель не должен находиться в реестре недобросовестных поставщиков,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соискатель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соискатель не имеет задолженности перед работниками по заработной плате,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таких юридических лиц, в совокупности превышает 50 процентов;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представление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в сроки, установленные </w:t>
      </w:r>
      <w:hyperlink w:anchor="Par53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Субсидии предоставляются по результатам конкурсного отбора.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Информация о проведении конкурсного отбора размещается на официальном сайте комитета в информационно-телекоммуникационной сети "Интернет" с указанием сроков подачи заявок на участие в конкурсном отборе в течение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комитета, в котором указываются сроки приема заявок на участие в конкурсном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отборе</w:t>
      </w:r>
      <w:proofErr w:type="gramEnd"/>
      <w:r>
        <w:rPr>
          <w:rFonts w:ascii="Calibri" w:hAnsi="Calibri" w:cs="Calibri"/>
        </w:rPr>
        <w:t xml:space="preserve"> (далее - заявка) и способ подачи заявок.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приема заявок не может быть менее 10 и более 30 календарных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информации о проведении конкурсного отбора.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Поступающие заявки регистрируются в соответствующем журнале в день поступления в комитет.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2.5. Для получения субсидии соискатель представляет в комитет заявку, включающую следующие документы: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на предоставление субсидии по форме, утвержденной правовым актом комитета;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справку об отсутствии просроченной задолженности по возврату в бюджет Ленинградской области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справку об отсутствии в отношении соискателя проведения процедуры реорганизации, ликвидации, банкротства, приостановления или ограничения на осуществление хозяйственной деятельности, заверенную подписями руководителя, главного бухгалтера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справку о том, что соискатель не находится в реестре недобросовестных поставщиков, заверенную подписью руководителя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справку о том, что в текущем финансовом году соискатель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копию документа, подтверждающего полномочия руководителя, заверенную подписью руководителя и печатью (при наличии);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rPr>
          <w:rFonts w:ascii="Calibri" w:hAnsi="Calibri" w:cs="Calibri"/>
        </w:rPr>
        <w:t>Межвед</w:t>
      </w:r>
      <w:proofErr w:type="spellEnd"/>
      <w:r>
        <w:rPr>
          <w:rFonts w:ascii="Calibri" w:hAnsi="Calibri" w:cs="Calibri"/>
        </w:rPr>
        <w:t xml:space="preserve"> ЛО") комитетом запрашиваются: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Соискатель вправе представить документы,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2.5.1</w:t>
        </w:r>
      </w:hyperlink>
      <w:r>
        <w:rPr>
          <w:rFonts w:ascii="Calibri" w:hAnsi="Calibri" w:cs="Calibri"/>
        </w:rPr>
        <w:t xml:space="preserve"> 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2.5.2.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 о налогах и сборах.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2.5.3. Соискатель имеет право отозвать заявку путем письменного уведомления комитета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рабочих дня до даты заседания экспертного совета.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Рассмотрение, оценка заявок осуществляется экспертным советом в срок не позднее 15 рабочих дней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срока приема заявок. Порядок работы и состав экспертного совета утверждаются правовыми актами комитета.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Конкурсный отбор осуществляется путем рассмотрения представленных заявок на предмет соответствия требованиям, установленным </w:t>
      </w:r>
      <w:hyperlink w:anchor="Par23" w:history="1">
        <w:r>
          <w:rPr>
            <w:rFonts w:ascii="Calibri" w:hAnsi="Calibri" w:cs="Calibri"/>
            <w:color w:val="0000FF"/>
          </w:rPr>
          <w:t>пунктами 1.5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настоящего Порядка, оценки соискателя на соответствие требованиям, установленным </w:t>
      </w:r>
      <w:hyperlink w:anchor="Par24" w:history="1">
        <w:r>
          <w:rPr>
            <w:rFonts w:ascii="Calibri" w:hAnsi="Calibri" w:cs="Calibri"/>
            <w:color w:val="0000FF"/>
          </w:rPr>
          <w:t>пунктами 1.6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настоящего Порядка, а также представленных проектов по критериям, указанным в </w:t>
      </w:r>
      <w:hyperlink w:anchor="Par24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Представленные на конкурс заявки (проекты) оцениваются экспертным советом по балльной системе по следующим критериям: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3742"/>
      </w:tblGrid>
      <w:tr w:rsidR="009025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участника конкурсного отбора опыта в реализации проектов, соответствующих цели предоставления субсидии, в течение трех лет, предшествовавших дате подачи заявок на участие в конкурсном отборе, имеющих следующие характеристики: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проекта и более 20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проекта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проект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проектов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Процент от общей суммы расходов на реализацию проекта (объем внебюджетного </w:t>
            </w:r>
            <w:proofErr w:type="spellStart"/>
            <w:r>
              <w:rPr>
                <w:rFonts w:ascii="Calibri" w:hAnsi="Calibri" w:cs="Calibri"/>
              </w:rPr>
              <w:t>софинансирования</w:t>
            </w:r>
            <w:proofErr w:type="spellEnd"/>
            <w:r>
              <w:rPr>
                <w:rFonts w:ascii="Calibri" w:hAnsi="Calibri" w:cs="Calibri"/>
              </w:rPr>
              <w:t xml:space="preserve">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20 проц. - 15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10-20 проц.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1-9 проц.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проц.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Предусматривается функционирование проекта после завершения финансирования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Инновационность</w:t>
            </w:r>
            <w:proofErr w:type="spellEnd"/>
            <w:r>
              <w:rPr>
                <w:rFonts w:ascii="Calibri" w:hAnsi="Calibri" w:cs="Calibri"/>
              </w:rPr>
              <w:t xml:space="preserve"> проекта в заявленной сфере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Аналогичные проекты не реализовывались на территории Ленинградской области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Аналогичные проекты реализовывались на территории </w:t>
            </w:r>
            <w:r>
              <w:rPr>
                <w:rFonts w:ascii="Calibri" w:hAnsi="Calibri" w:cs="Calibri"/>
              </w:rPr>
              <w:lastRenderedPageBreak/>
              <w:t>Ленинградской области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Актуальность проекта (характеристика проекта в заявленной сфере)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не актуален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лиц, охватываемых при реализации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1000 человек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до 1000 человек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до 500 человек - 3 балла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200 человек - 1 балл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Заявленные в проекте финансовые требования (расходы) экономически обоснованы и целесообразны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плана мероприятий проекта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Реалистичен</w:t>
            </w:r>
            <w:proofErr w:type="gramEnd"/>
            <w:r>
              <w:rPr>
                <w:rFonts w:ascii="Calibri" w:hAnsi="Calibri" w:cs="Calibri"/>
              </w:rPr>
              <w:t>, обеспечен ресурсами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Реалистичен</w:t>
            </w:r>
            <w:proofErr w:type="gramEnd"/>
            <w:r>
              <w:rPr>
                <w:rFonts w:ascii="Calibri" w:hAnsi="Calibri" w:cs="Calibri"/>
              </w:rPr>
              <w:t>, для достижения целей и решения задач проекта необходимо больше ресурсов - 3 балла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Нереалистичен</w:t>
            </w:r>
            <w:proofErr w:type="gramEnd"/>
            <w:r>
              <w:rPr>
                <w:rFonts w:ascii="Calibri" w:hAnsi="Calibri" w:cs="Calibri"/>
              </w:rPr>
              <w:t>, не обеспечен ресурсами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соискателя информационного ресурса о его деятельности и периодичность его обновления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ежемесячно - 5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ежеквартально - 3 балла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обновляется или отсутствует - 0 баллов</w:t>
            </w:r>
          </w:p>
        </w:tc>
      </w:tr>
      <w:tr w:rsidR="009025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соискателя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работников, задействованных в проекте (без внешних совместителей):</w:t>
            </w:r>
          </w:p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3 до 5 работников - 2 балла;</w:t>
            </w:r>
          </w:p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2 работников - 1 балл;</w:t>
            </w:r>
          </w:p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 работники - 0 баллов</w:t>
            </w:r>
          </w:p>
        </w:tc>
      </w:tr>
      <w:tr w:rsidR="0090255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оборудования:</w:t>
            </w:r>
          </w:p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техническое оснащение - 3 балла;</w:t>
            </w:r>
          </w:p>
          <w:p w:rsidR="0090255B" w:rsidRDefault="009025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 техническое оснащение - 0 баллов</w:t>
            </w:r>
          </w:p>
        </w:tc>
      </w:tr>
    </w:tbl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Победителем конкурсного отбора признается соискатель, набравший в сумме наибольшее количество баллов.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несколько соискателей набрали одинаковое количество баллов, то победителем конкурсного отбора признается соискатель, подавший заявку ранее других.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Основаниями для отказа в предоставлении субсидии являются: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несоответствие представленных соискателем документов требованиям, определенным </w:t>
      </w:r>
      <w:hyperlink w:anchor="Par56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недостоверность представленной соискателем информации;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несоответствие соискателя требованиям, указанным в </w:t>
      </w:r>
      <w:hyperlink w:anchor="Par23" w:history="1">
        <w:r>
          <w:rPr>
            <w:rFonts w:ascii="Calibri" w:hAnsi="Calibri" w:cs="Calibri"/>
            <w:color w:val="0000FF"/>
          </w:rPr>
          <w:t>пунктах 1.5</w:t>
        </w:r>
      </w:hyperlink>
      <w:r>
        <w:rPr>
          <w:rFonts w:ascii="Calibri" w:hAnsi="Calibri" w:cs="Calibri"/>
        </w:rPr>
        <w:t xml:space="preserve">, </w:t>
      </w:r>
      <w:hyperlink w:anchor="Par24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непредставление документов в срок, установленный </w:t>
      </w:r>
      <w:hyperlink w:anchor="Par53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Результаты рассмотрения экспертным советом заявок оформляются протоколом, который подписывается всеми членами экспертного совета не позднее трех рабочих дней </w:t>
      </w:r>
      <w:proofErr w:type="gramStart"/>
      <w:r>
        <w:rPr>
          <w:rFonts w:ascii="Calibri" w:hAnsi="Calibri" w:cs="Calibri"/>
        </w:rPr>
        <w:t>с даты заседания</w:t>
      </w:r>
      <w:proofErr w:type="gramEnd"/>
      <w:r>
        <w:rPr>
          <w:rFonts w:ascii="Calibri" w:hAnsi="Calibri" w:cs="Calibri"/>
        </w:rPr>
        <w:t xml:space="preserve"> экспертного совета. Протокол заседания экспертного совета размещается комитетом на официальном сайте комитета в информационно-телекоммуникационной сети "Интернет" в течение трех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 xml:space="preserve">2.12. </w:t>
      </w:r>
      <w:proofErr w:type="gramStart"/>
      <w:r>
        <w:rPr>
          <w:rFonts w:ascii="Calibri" w:hAnsi="Calibri" w:cs="Calibri"/>
        </w:rPr>
        <w:t>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экспертного совета, оформляется распоряжением комитета в течение пяти рабочих дней с даты оформления протокола экспертного совета и размещается на официальном сайте комитета в информационно-телекоммуникационной сети "Интернет" не позднее пяти рабочих дней со дня его принятия.</w:t>
      </w:r>
      <w:proofErr w:type="gramEnd"/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правового акта комитет посредством электронной почты уведомляет получателей субсидии о необходимости заключения Соглашения.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Соискатели,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Размер субсидии рассчитывается по следующей формуле: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Рсуб</w:t>
      </w:r>
      <w:proofErr w:type="spellEnd"/>
      <w:r>
        <w:rPr>
          <w:rFonts w:ascii="Calibri" w:hAnsi="Calibri" w:cs="Calibri"/>
        </w:rPr>
        <w:t>. = С x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/ 100,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Рсуб</w:t>
      </w:r>
      <w:proofErr w:type="spellEnd"/>
      <w:r>
        <w:rPr>
          <w:rFonts w:ascii="Calibri" w:hAnsi="Calibri" w:cs="Calibri"/>
        </w:rPr>
        <w:t>. - размер субсидии, предоставляемой победителю конкурсного отбора;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стоимость заявки (проекта), заявленная победителем конкурсного отбора, за счет средств бюджета Ленинградской области;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среднее значение суммарного результата оценки проекта (балл);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100 - максимальное количество оценочных баллов.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Соглашение заключается комитетом в течение 10 рабочих дней </w:t>
      </w:r>
      <w:proofErr w:type="gramStart"/>
      <w:r>
        <w:rPr>
          <w:rFonts w:ascii="Calibri" w:hAnsi="Calibri" w:cs="Calibri"/>
        </w:rPr>
        <w:t>с даты издания</w:t>
      </w:r>
      <w:proofErr w:type="gramEnd"/>
      <w:r>
        <w:rPr>
          <w:rFonts w:ascii="Calibri" w:hAnsi="Calibri" w:cs="Calibri"/>
        </w:rPr>
        <w:t xml:space="preserve"> правового акта комитета, указанного в </w:t>
      </w:r>
      <w:hyperlink w:anchor="Par146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настоящего Порядка. В случае отказа получателя субсидии от заключения Соглашения, наличия нераспределенного остатка средств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Значения показателей результативности предоставления субсидии устанавливаются комитетом в Соглашении.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распорядительной заявки на расход.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Осуществление отчетности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сроки представления получателем субсидии отчетности о достижении показателей результативности определяются Соглашением.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Требования по осуществлению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соблюдением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условий, целей и порядка предоставления субсидий,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их нарушение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Комитетом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73"/>
      <w:bookmarkEnd w:id="8"/>
      <w:r>
        <w:rPr>
          <w:rFonts w:ascii="Calibri" w:hAnsi="Calibri" w:cs="Calibri"/>
        </w:rPr>
        <w:t xml:space="preserve">4.2. В случае установления по итогам проверок, проведенных комитетом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значений показателей результативности использования субсидии, определенных Соглашением, соответствующие средства подлежат возврату в доход бюджета Ленинградской области: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основании письменного требования комитета в течение 10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получателем субсидии указанного требования;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основании представления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4.3. В случае отказа вернуть средства субсидии, подлежащие возврату, в установленные </w:t>
      </w:r>
      <w:hyperlink w:anchor="Par173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Порядка сроки взыскание денежных средств осуществляется в судебном порядке.</w:t>
      </w:r>
    </w:p>
    <w:p w:rsidR="0090255B" w:rsidRDefault="0090255B" w:rsidP="009025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255B" w:rsidRDefault="0090255B" w:rsidP="009025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255B" w:rsidRDefault="0090255B" w:rsidP="0090255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531A" w:rsidRDefault="0025531A">
      <w:bookmarkStart w:id="9" w:name="_GoBack"/>
      <w:bookmarkEnd w:id="9"/>
    </w:p>
    <w:sectPr w:rsidR="0025531A" w:rsidSect="009C057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B"/>
    <w:rsid w:val="0025531A"/>
    <w:rsid w:val="009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2020-06-01T11:54:00Z</dcterms:created>
  <dcterms:modified xsi:type="dcterms:W3CDTF">2020-06-01T11:55:00Z</dcterms:modified>
</cp:coreProperties>
</file>