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30.09.2019 N 442</w:t>
              <w:br/>
              <w:t xml:space="preserve">(ред. от 24.08.2023)</w:t>
              <w:br/>
              <w:t xml:space="preserve">"О государственной программе Ленинградской области "Развитие внутреннего и въездного туризма в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сентября 2019 г. N 442</w:t>
      </w:r>
    </w:p>
    <w:p>
      <w:pPr>
        <w:pStyle w:val="2"/>
        <w:jc w:val="center"/>
      </w:pPr>
      <w:r>
        <w:rPr>
          <w:sz w:val="20"/>
        </w:rPr>
      </w:r>
    </w:p>
    <w:p>
      <w:pPr>
        <w:pStyle w:val="2"/>
        <w:jc w:val="center"/>
      </w:pPr>
      <w:r>
        <w:rPr>
          <w:sz w:val="20"/>
        </w:rPr>
        <w:t xml:space="preserve">О ГОСУДАРСТВЕННОЙ ПРОГРАММЕ ЛЕНИНГРАДСКОЙ ОБЛАСТИ "РАЗВИТИЕ</w:t>
      </w:r>
    </w:p>
    <w:p>
      <w:pPr>
        <w:pStyle w:val="2"/>
        <w:jc w:val="center"/>
      </w:pPr>
      <w:r>
        <w:rPr>
          <w:sz w:val="20"/>
        </w:rPr>
        <w:t xml:space="preserve">ВНУТРЕННЕГО И ВЪЕЗДНОГО ТУРИЗМА 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06.05.2020 </w:t>
            </w:r>
            <w:hyperlink w:history="0" r:id="rId7" w:tooltip="Постановление Правительства Ленинградской области от 06.05.2020 N 268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268</w:t>
              </w:r>
            </w:hyperlink>
            <w:r>
              <w:rPr>
                <w:sz w:val="20"/>
                <w:color w:val="392c69"/>
              </w:rPr>
              <w:t xml:space="preserve">, от 28.12.2020 </w:t>
            </w:r>
            <w:hyperlink w:history="0" r:id="rId8" w:tooltip="Постановление Правительства Ленинградской области от 28.12.2020 N 86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865</w:t>
              </w:r>
            </w:hyperlink>
            <w:r>
              <w:rPr>
                <w:sz w:val="20"/>
                <w:color w:val="392c69"/>
              </w:rPr>
              <w:t xml:space="preserve">, от 25.02.2021 </w:t>
            </w:r>
            <w:hyperlink w:history="0" r:id="rId9" w:tooltip="Постановление Правительства Ленинградской области от 25.02.2021 N 109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11.10.2021 </w:t>
            </w:r>
            <w:hyperlink w:history="0" r:id="rId10" w:tooltip="Постановление Правительства Ленинградской области от 11.10.2021 N 65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655</w:t>
              </w:r>
            </w:hyperlink>
            <w:r>
              <w:rPr>
                <w:sz w:val="20"/>
                <w:color w:val="392c69"/>
              </w:rPr>
              <w:t xml:space="preserve">, от 21.12.2021 </w:t>
            </w:r>
            <w:hyperlink w:history="0" r:id="rId11" w:tooltip="Постановление Правительства Ленинградской области от 21.12.2021 N 839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839</w:t>
              </w:r>
            </w:hyperlink>
            <w:r>
              <w:rPr>
                <w:sz w:val="20"/>
                <w:color w:val="392c69"/>
              </w:rPr>
              <w:t xml:space="preserve">, от 30.12.2021 </w:t>
            </w:r>
            <w:hyperlink w:history="0" r:id="rId12" w:tooltip="Постановление Правительства Ленинградской области от 30.12.2021 N 914 &quot;О внесении изменения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914</w:t>
              </w:r>
            </w:hyperlink>
            <w:r>
              <w:rPr>
                <w:sz w:val="20"/>
                <w:color w:val="392c69"/>
              </w:rPr>
              <w:t xml:space="preserve">,</w:t>
            </w:r>
          </w:p>
          <w:p>
            <w:pPr>
              <w:pStyle w:val="0"/>
              <w:jc w:val="center"/>
            </w:pPr>
            <w:r>
              <w:rPr>
                <w:sz w:val="20"/>
                <w:color w:val="392c69"/>
              </w:rPr>
              <w:t xml:space="preserve">от 01.07.2022 </w:t>
            </w:r>
            <w:hyperlink w:history="0" r:id="rId13" w:tooltip="Постановление Правительства Ленинградской области от 01.07.2022 N 45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457</w:t>
              </w:r>
            </w:hyperlink>
            <w:r>
              <w:rPr>
                <w:sz w:val="20"/>
                <w:color w:val="392c69"/>
              </w:rPr>
              <w:t xml:space="preserve">, от 26.12.2022 </w:t>
            </w:r>
            <w:hyperlink w:history="0" r:id="rId14" w:tooltip="Постановление Правительства Ленинградской области от 26.12.2022 N 979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979</w:t>
              </w:r>
            </w:hyperlink>
            <w:r>
              <w:rPr>
                <w:sz w:val="20"/>
                <w:color w:val="392c69"/>
              </w:rPr>
              <w:t xml:space="preserve">, от 30.12.2022 </w:t>
            </w:r>
            <w:hyperlink w:history="0" r:id="rId15"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1013</w:t>
              </w:r>
            </w:hyperlink>
            <w:r>
              <w:rPr>
                <w:sz w:val="20"/>
                <w:color w:val="392c69"/>
              </w:rPr>
              <w:t xml:space="preserve">,</w:t>
            </w:r>
          </w:p>
          <w:p>
            <w:pPr>
              <w:pStyle w:val="0"/>
              <w:jc w:val="center"/>
            </w:pPr>
            <w:r>
              <w:rPr>
                <w:sz w:val="20"/>
                <w:color w:val="392c69"/>
              </w:rPr>
              <w:t xml:space="preserve">от 27.03.2023 </w:t>
            </w:r>
            <w:hyperlink w:history="0" r:id="rId16"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197</w:t>
              </w:r>
            </w:hyperlink>
            <w:r>
              <w:rPr>
                <w:sz w:val="20"/>
                <w:color w:val="392c69"/>
              </w:rPr>
              <w:t xml:space="preserve">, от 21.06.2023 </w:t>
            </w:r>
            <w:hyperlink w:history="0" r:id="rId17" w:tooltip="Постановление Правительства Ленинградской области от 21.06.2023 N 414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414</w:t>
              </w:r>
            </w:hyperlink>
            <w:r>
              <w:rPr>
                <w:sz w:val="20"/>
                <w:color w:val="392c69"/>
              </w:rPr>
              <w:t xml:space="preserve">, от 24.08.2023 </w:t>
            </w:r>
            <w:hyperlink w:history="0" r:id="rId18" w:tooltip="Постановление Правительства Ленинградской области от 24.08.2023 N 58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585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областными законами от 27 июля 2015 года </w:t>
      </w:r>
      <w:hyperlink w:history="0" r:id="rId19" w:tooltip="Областной закон Ленинградской области от 27.07.2015 N 82-оз (ред. от 14.03.2023) &quot;О стратегическом планировании в Ленинградской области&quot; (принят ЗС ЛО 08.07.2015) {КонсультантПлюс}">
        <w:r>
          <w:rPr>
            <w:sz w:val="20"/>
            <w:color w:val="0000ff"/>
          </w:rPr>
          <w:t xml:space="preserve">N 82-оз</w:t>
        </w:r>
      </w:hyperlink>
      <w:r>
        <w:rPr>
          <w:sz w:val="20"/>
        </w:rPr>
        <w:t xml:space="preserve"> "О стратегическом планировании в Ленинградской области" и от 8 августа 2016 года </w:t>
      </w:r>
      <w:hyperlink w:history="0" r:id="rId20" w:tooltip="Областной закон Ленинградской области от 08.08.2016 N 76-оз (ред. от 19.12.2019) &quot;О Стратегии социально-экономического развития Ленинградской области до 2030 года и признании утратившим силу областного закона &quot;О Концепции социально-экономического развития Ленинградской области на период до 2025 года&quot; (принят ЗС ЛО 13.07.2016) {КонсультантПлюс}">
        <w:r>
          <w:rPr>
            <w:sz w:val="20"/>
            <w:color w:val="0000ff"/>
          </w:rPr>
          <w:t xml:space="preserve">N 76-оз</w:t>
        </w:r>
      </w:hyperlink>
      <w:r>
        <w:rPr>
          <w:sz w:val="20"/>
        </w:rP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w:history="0" r:id="rId21" w:tooltip="Постановление Правительства Ленинградской области от 07.03.2013 N 66 (ред. от 26.08.2022) &quot;Об утверждении Порядка разработки, реализации и оценки эффективности государственных программ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39" w:tooltip="ГОСУДАРСТВЕННАЯ ПРОГРАММА">
        <w:r>
          <w:rPr>
            <w:sz w:val="20"/>
            <w:color w:val="0000ff"/>
          </w:rPr>
          <w:t xml:space="preserve">программу</w:t>
        </w:r>
      </w:hyperlink>
      <w:r>
        <w:rPr>
          <w:sz w:val="20"/>
        </w:rPr>
        <w:t xml:space="preserve"> Ленинградской области "Развитие внутреннего и въездного туризма в Ленинградской области" (далее - государственная программа).</w:t>
      </w:r>
    </w:p>
    <w:p>
      <w:pPr>
        <w:pStyle w:val="0"/>
        <w:spacing w:before="200" w:line-rule="auto"/>
        <w:ind w:firstLine="540"/>
        <w:jc w:val="both"/>
      </w:pPr>
      <w:r>
        <w:rPr>
          <w:sz w:val="20"/>
        </w:rPr>
        <w:t xml:space="preserve">2. Комитету Ленинградской области по туризму:</w:t>
      </w:r>
    </w:p>
    <w:p>
      <w:pPr>
        <w:pStyle w:val="0"/>
        <w:spacing w:before="200" w:line-rule="auto"/>
        <w:ind w:firstLine="540"/>
        <w:jc w:val="both"/>
      </w:pPr>
      <w:r>
        <w:rPr>
          <w:sz w:val="20"/>
        </w:rPr>
        <w:t xml:space="preserve">2.1. В двухнедельный срок со дня официального опубликования настоящего постановления разместить утвержденную государственную программу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2.2. Утвердить до 31 декабря 2019 года план-график финансирования государственной программы за счет средств областного бюджета Ленинградской области.</w:t>
      </w:r>
    </w:p>
    <w:p>
      <w:pPr>
        <w:pStyle w:val="0"/>
        <w:spacing w:before="200" w:line-rule="auto"/>
        <w:ind w:firstLine="540"/>
        <w:jc w:val="both"/>
      </w:pPr>
      <w:r>
        <w:rPr>
          <w:sz w:val="20"/>
        </w:rPr>
        <w:t xml:space="preserve">3. Комитету по культуре Ленинградской области в месячный срок со дня утверждения государственной программы представить в Правительство Ленинградской области предложения о внесении изменений в </w:t>
      </w:r>
      <w:hyperlink w:history="0" r:id="rId22" w:tooltip="Постановление Правительства Ленинградской области от 14.11.2013 N 404 (ред. от 14.11.2023) &quot;О государственной программе Ленинградской области &quot;Развитие культуры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14 ноября 2013 года N 404 "О государственной программе Ленинградской области "Развитие культуры и туризма в Ленинградской области" в части исключения подпрограммы "Развитие внутреннего и въездного туризма в Ленинградской области".</w:t>
      </w:r>
    </w:p>
    <w:p>
      <w:pPr>
        <w:pStyle w:val="0"/>
        <w:spacing w:before="200" w:line-rule="auto"/>
        <w:ind w:firstLine="540"/>
        <w:jc w:val="both"/>
      </w:pPr>
      <w:r>
        <w:rPr>
          <w:sz w:val="20"/>
        </w:rPr>
        <w:t xml:space="preserve">4. Рекомендовать органам местного самоуправления Ленинградской области учитывать положения государственной программы при принятии муниципальных программ, направленных на развитие туризма.</w:t>
      </w:r>
    </w:p>
    <w:p>
      <w:pPr>
        <w:pStyle w:val="0"/>
        <w:spacing w:before="200" w:line-rule="auto"/>
        <w:ind w:firstLine="540"/>
        <w:jc w:val="both"/>
      </w:pPr>
      <w:r>
        <w:rPr>
          <w:sz w:val="20"/>
        </w:rPr>
        <w:t xml:space="preserve">5. Контроль за исполнением постановления возложить на заместителя Председателя Правительства Ленинградской области по социальным вопросам.</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30.09.2019 N 442</w:t>
      </w:r>
    </w:p>
    <w:p>
      <w:pPr>
        <w:pStyle w:val="0"/>
        <w:jc w:val="right"/>
      </w:pPr>
      <w:r>
        <w:rPr>
          <w:sz w:val="20"/>
        </w:rPr>
        <w:t xml:space="preserve">(приложение)</w:t>
      </w:r>
    </w:p>
    <w:p>
      <w:pPr>
        <w:pStyle w:val="0"/>
        <w:ind w:firstLine="540"/>
        <w:jc w:val="both"/>
      </w:pPr>
      <w:r>
        <w:rPr>
          <w:sz w:val="20"/>
        </w:rPr>
      </w:r>
    </w:p>
    <w:bookmarkStart w:id="39" w:name="P39"/>
    <w:bookmarkEnd w:id="39"/>
    <w:p>
      <w:pPr>
        <w:pStyle w:val="2"/>
        <w:jc w:val="center"/>
      </w:pPr>
      <w:r>
        <w:rPr>
          <w:sz w:val="20"/>
        </w:rPr>
        <w:t xml:space="preserve">ГОСУДАРСТВЕННАЯ ПРОГРАММА</w:t>
      </w:r>
    </w:p>
    <w:p>
      <w:pPr>
        <w:pStyle w:val="2"/>
        <w:jc w:val="center"/>
      </w:pPr>
      <w:r>
        <w:rPr>
          <w:sz w:val="20"/>
        </w:rPr>
        <w:t xml:space="preserve">ЛЕНИНГРАДСКОЙ ОБЛАСТИ "РАЗВИТИЕ ВНУТРЕННЕГО И ВЪЕЗДНОГО</w:t>
      </w:r>
    </w:p>
    <w:p>
      <w:pPr>
        <w:pStyle w:val="2"/>
        <w:jc w:val="center"/>
      </w:pPr>
      <w:r>
        <w:rPr>
          <w:sz w:val="20"/>
        </w:rPr>
        <w:t xml:space="preserve">ТУРИЗМА 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30.12.2021 </w:t>
            </w:r>
            <w:hyperlink w:history="0" r:id="rId23" w:tooltip="Постановление Правительства Ленинградской области от 30.12.2021 N 914 &quot;О внесении изменения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914</w:t>
              </w:r>
            </w:hyperlink>
            <w:r>
              <w:rPr>
                <w:sz w:val="20"/>
                <w:color w:val="392c69"/>
              </w:rPr>
              <w:t xml:space="preserve">, от 01.07.2022 </w:t>
            </w:r>
            <w:hyperlink w:history="0" r:id="rId24" w:tooltip="Постановление Правительства Ленинградской области от 01.07.2022 N 45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457</w:t>
              </w:r>
            </w:hyperlink>
            <w:r>
              <w:rPr>
                <w:sz w:val="20"/>
                <w:color w:val="392c69"/>
              </w:rPr>
              <w:t xml:space="preserve">, от 26.12.2022 </w:t>
            </w:r>
            <w:hyperlink w:history="0" r:id="rId25" w:tooltip="Постановление Правительства Ленинградской области от 26.12.2022 N 979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979</w:t>
              </w:r>
            </w:hyperlink>
            <w:r>
              <w:rPr>
                <w:sz w:val="20"/>
                <w:color w:val="392c69"/>
              </w:rPr>
              <w:t xml:space="preserve">,</w:t>
            </w:r>
          </w:p>
          <w:p>
            <w:pPr>
              <w:pStyle w:val="0"/>
              <w:jc w:val="center"/>
            </w:pPr>
            <w:r>
              <w:rPr>
                <w:sz w:val="20"/>
                <w:color w:val="392c69"/>
              </w:rPr>
              <w:t xml:space="preserve">от 30.12.2022 </w:t>
            </w:r>
            <w:hyperlink w:history="0" r:id="rId26"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1013</w:t>
              </w:r>
            </w:hyperlink>
            <w:r>
              <w:rPr>
                <w:sz w:val="20"/>
                <w:color w:val="392c69"/>
              </w:rPr>
              <w:t xml:space="preserve">, от 27.03.2023 </w:t>
            </w:r>
            <w:hyperlink w:history="0" r:id="rId27"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197</w:t>
              </w:r>
            </w:hyperlink>
            <w:r>
              <w:rPr>
                <w:sz w:val="20"/>
                <w:color w:val="392c69"/>
              </w:rPr>
              <w:t xml:space="preserve">, от 21.06.2023 </w:t>
            </w:r>
            <w:hyperlink w:history="0" r:id="rId28" w:tooltip="Постановление Правительства Ленинградской области от 21.06.2023 N 414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414</w:t>
              </w:r>
            </w:hyperlink>
            <w:r>
              <w:rPr>
                <w:sz w:val="20"/>
                <w:color w:val="392c69"/>
              </w:rPr>
              <w:t xml:space="preserve">,</w:t>
            </w:r>
          </w:p>
          <w:p>
            <w:pPr>
              <w:pStyle w:val="0"/>
              <w:jc w:val="center"/>
            </w:pPr>
            <w:r>
              <w:rPr>
                <w:sz w:val="20"/>
                <w:color w:val="392c69"/>
              </w:rPr>
              <w:t xml:space="preserve">от 24.08.2023 </w:t>
            </w:r>
            <w:hyperlink w:history="0" r:id="rId29" w:tooltip="Постановление Правительства Ленинградской области от 24.08.2023 N 58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585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Ленинградской области</w:t>
      </w:r>
    </w:p>
    <w:p>
      <w:pPr>
        <w:pStyle w:val="2"/>
        <w:jc w:val="center"/>
      </w:pPr>
      <w:r>
        <w:rPr>
          <w:sz w:val="20"/>
        </w:rPr>
        <w:t xml:space="preserve">"Развитие внутреннего и въездного туризма</w:t>
      </w:r>
    </w:p>
    <w:p>
      <w:pPr>
        <w:pStyle w:val="2"/>
        <w:jc w:val="center"/>
      </w:pPr>
      <w:r>
        <w:rPr>
          <w:sz w:val="20"/>
        </w:rPr>
        <w:t xml:space="preserve">в Ленинградской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blPrEx>
          <w:tblBorders>
            <w:insideH w:val="nil"/>
          </w:tblBorders>
        </w:tblPrEx>
        <w:tc>
          <w:tcPr>
            <w:tcW w:w="2835" w:type="dxa"/>
            <w:tcBorders>
              <w:bottom w:val="nil"/>
            </w:tcBorders>
          </w:tcPr>
          <w:p>
            <w:pPr>
              <w:pStyle w:val="0"/>
            </w:pPr>
            <w:r>
              <w:rPr>
                <w:sz w:val="20"/>
              </w:rPr>
              <w:t xml:space="preserve">Сроки реализации государственной программы</w:t>
            </w:r>
          </w:p>
        </w:tc>
        <w:tc>
          <w:tcPr>
            <w:tcW w:w="6236" w:type="dxa"/>
            <w:tcBorders>
              <w:bottom w:val="nil"/>
            </w:tcBorders>
          </w:tcPr>
          <w:p>
            <w:pPr>
              <w:pStyle w:val="0"/>
              <w:jc w:val="both"/>
            </w:pPr>
            <w:r>
              <w:rPr>
                <w:sz w:val="20"/>
              </w:rPr>
              <w:t xml:space="preserve">2022-2025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0"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tc>
      </w:tr>
      <w:tr>
        <w:tc>
          <w:tcPr>
            <w:tcW w:w="2835" w:type="dxa"/>
          </w:tcPr>
          <w:p>
            <w:pPr>
              <w:pStyle w:val="0"/>
            </w:pPr>
            <w:r>
              <w:rPr>
                <w:sz w:val="20"/>
              </w:rPr>
              <w:t xml:space="preserve">Ответственный исполнитель государственной программы</w:t>
            </w:r>
          </w:p>
        </w:tc>
        <w:tc>
          <w:tcPr>
            <w:tcW w:w="6236" w:type="dxa"/>
          </w:tcPr>
          <w:p>
            <w:pPr>
              <w:pStyle w:val="0"/>
              <w:jc w:val="both"/>
            </w:pPr>
            <w:r>
              <w:rPr>
                <w:sz w:val="20"/>
              </w:rPr>
              <w:t xml:space="preserve">Комитет по культуре и туризму Ленинградской области</w:t>
            </w:r>
          </w:p>
        </w:tc>
      </w:tr>
      <w:tr>
        <w:tblPrEx>
          <w:tblBorders>
            <w:insideH w:val="nil"/>
          </w:tblBorders>
        </w:tblPrEx>
        <w:tc>
          <w:tcPr>
            <w:tcW w:w="2835" w:type="dxa"/>
            <w:tcBorders>
              <w:bottom w:val="nil"/>
            </w:tcBorders>
          </w:tcPr>
          <w:p>
            <w:pPr>
              <w:pStyle w:val="0"/>
            </w:pPr>
            <w:r>
              <w:rPr>
                <w:sz w:val="20"/>
              </w:rPr>
              <w:t xml:space="preserve">Участники государственной программы</w:t>
            </w:r>
          </w:p>
        </w:tc>
        <w:tc>
          <w:tcPr>
            <w:tcW w:w="6236" w:type="dxa"/>
            <w:tcBorders>
              <w:bottom w:val="nil"/>
            </w:tcBorders>
          </w:tcPr>
          <w:p>
            <w:pPr>
              <w:pStyle w:val="0"/>
              <w:jc w:val="both"/>
            </w:pPr>
            <w:r>
              <w:rPr>
                <w:sz w:val="20"/>
              </w:rPr>
              <w:t xml:space="preserve">Комитет по культуре и туризму Ленинградской области;</w:t>
            </w:r>
          </w:p>
          <w:p>
            <w:pPr>
              <w:pStyle w:val="0"/>
              <w:jc w:val="both"/>
            </w:pPr>
            <w:r>
              <w:rPr>
                <w:sz w:val="20"/>
              </w:rPr>
              <w:t xml:space="preserve">Комитет по дорожному хозяйству Ленинградской области;</w:t>
            </w:r>
          </w:p>
          <w:p>
            <w:pPr>
              <w:pStyle w:val="0"/>
              <w:jc w:val="both"/>
            </w:pPr>
            <w:r>
              <w:rPr>
                <w:sz w:val="20"/>
              </w:rPr>
              <w:t xml:space="preserve">комитет общего и профессионального образования Ленинградской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1" w:tooltip="Постановление Правительства Ленинградской области от 01.07.2022 N 45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01.07.2022 N 457)</w:t>
            </w:r>
          </w:p>
        </w:tc>
      </w:tr>
      <w:tr>
        <w:tc>
          <w:tcPr>
            <w:tcW w:w="2835" w:type="dxa"/>
          </w:tcPr>
          <w:p>
            <w:pPr>
              <w:pStyle w:val="0"/>
            </w:pPr>
            <w:r>
              <w:rPr>
                <w:sz w:val="20"/>
              </w:rPr>
              <w:t xml:space="preserve">Цель государственной программы</w:t>
            </w:r>
          </w:p>
        </w:tc>
        <w:tc>
          <w:tcPr>
            <w:tcW w:w="6236" w:type="dxa"/>
          </w:tcPr>
          <w:p>
            <w:pPr>
              <w:pStyle w:val="0"/>
              <w:jc w:val="both"/>
            </w:pPr>
            <w:r>
              <w:rPr>
                <w:sz w:val="20"/>
              </w:rPr>
              <w:t xml:space="preserve">Увеличение туристского потока в Ленинградскую область, развитие въездного и внутреннего туризма</w:t>
            </w:r>
          </w:p>
        </w:tc>
      </w:tr>
      <w:tr>
        <w:tc>
          <w:tcPr>
            <w:tcW w:w="2835" w:type="dxa"/>
          </w:tcPr>
          <w:p>
            <w:pPr>
              <w:pStyle w:val="0"/>
            </w:pPr>
            <w:r>
              <w:rPr>
                <w:sz w:val="20"/>
              </w:rPr>
              <w:t xml:space="preserve">Задачи государственной программы</w:t>
            </w:r>
          </w:p>
        </w:tc>
        <w:tc>
          <w:tcPr>
            <w:tcW w:w="6236" w:type="dxa"/>
          </w:tcPr>
          <w:p>
            <w:pPr>
              <w:pStyle w:val="0"/>
              <w:jc w:val="both"/>
            </w:pPr>
            <w:r>
              <w:rPr>
                <w:sz w:val="20"/>
              </w:rPr>
              <w:t xml:space="preserve">Увеличение занятости и доходности в туристской сфере;</w:t>
            </w:r>
          </w:p>
          <w:p>
            <w:pPr>
              <w:pStyle w:val="0"/>
              <w:jc w:val="both"/>
            </w:pPr>
            <w:r>
              <w:rPr>
                <w:sz w:val="20"/>
              </w:rPr>
              <w:t xml:space="preserve">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tc>
      </w:tr>
      <w:tr>
        <w:tc>
          <w:tcPr>
            <w:tcW w:w="2835" w:type="dxa"/>
          </w:tcPr>
          <w:p>
            <w:pPr>
              <w:pStyle w:val="0"/>
            </w:pPr>
            <w:r>
              <w:rPr>
                <w:sz w:val="20"/>
              </w:rPr>
              <w:t xml:space="preserve">Ожидаемые (конечные) результаты реализации государственной программы</w:t>
            </w:r>
          </w:p>
        </w:tc>
        <w:tc>
          <w:tcPr>
            <w:tcW w:w="6236" w:type="dxa"/>
          </w:tcPr>
          <w:p>
            <w:pPr>
              <w:pStyle w:val="0"/>
              <w:jc w:val="both"/>
            </w:pPr>
            <w:r>
              <w:rPr>
                <w:sz w:val="20"/>
              </w:rPr>
              <w:t xml:space="preserve">Создание условий для прироста числа занятых в сфере туризма;</w:t>
            </w:r>
          </w:p>
          <w:p>
            <w:pPr>
              <w:pStyle w:val="0"/>
              <w:jc w:val="both"/>
            </w:pPr>
            <w:r>
              <w:rPr>
                <w:sz w:val="20"/>
              </w:rPr>
              <w:t xml:space="preserve">создание условий для увеличения туристского потока в Ленинградскую область</w:t>
            </w:r>
          </w:p>
        </w:tc>
      </w:tr>
      <w:tr>
        <w:tblPrEx>
          <w:tblBorders>
            <w:insideH w:val="nil"/>
          </w:tblBorders>
        </w:tblPrEx>
        <w:tc>
          <w:tcPr>
            <w:tcW w:w="2835" w:type="dxa"/>
            <w:tcBorders>
              <w:bottom w:val="nil"/>
            </w:tcBorders>
          </w:tcPr>
          <w:p>
            <w:pPr>
              <w:pStyle w:val="0"/>
            </w:pPr>
            <w:r>
              <w:rPr>
                <w:sz w:val="20"/>
              </w:rPr>
              <w:t xml:space="preserve">Проекты, реализуемые в рамках государственной программы</w:t>
            </w:r>
          </w:p>
        </w:tc>
        <w:tc>
          <w:tcPr>
            <w:tcW w:w="6236" w:type="dxa"/>
            <w:tcBorders>
              <w:bottom w:val="nil"/>
            </w:tcBorders>
          </w:tcPr>
          <w:p>
            <w:pPr>
              <w:pStyle w:val="0"/>
              <w:jc w:val="both"/>
            </w:pPr>
            <w:r>
              <w:rPr>
                <w:sz w:val="20"/>
              </w:rPr>
              <w:t xml:space="preserve">Федеральный (региональный) проект "Развитие туристической инфраструктуры";</w:t>
            </w:r>
          </w:p>
          <w:p>
            <w:pPr>
              <w:pStyle w:val="0"/>
              <w:jc w:val="both"/>
            </w:pPr>
            <w:r>
              <w:rPr>
                <w:sz w:val="20"/>
              </w:rPr>
              <w:t xml:space="preserve">федеральный (региональный) проект "Повышение доступности туристических продуктов";</w:t>
            </w:r>
          </w:p>
          <w:p>
            <w:pPr>
              <w:pStyle w:val="0"/>
              <w:jc w:val="both"/>
            </w:pPr>
            <w:r>
              <w:rPr>
                <w:sz w:val="20"/>
              </w:rPr>
              <w:t xml:space="preserve">приоритетный проект "Вело 47";</w:t>
            </w:r>
          </w:p>
          <w:p>
            <w:pPr>
              <w:pStyle w:val="0"/>
              <w:jc w:val="both"/>
            </w:pPr>
            <w:r>
              <w:rPr>
                <w:sz w:val="20"/>
              </w:rPr>
              <w:t xml:space="preserve">приоритетный проект "Курорт 47";</w:t>
            </w:r>
          </w:p>
          <w:p>
            <w:pPr>
              <w:pStyle w:val="0"/>
              <w:jc w:val="both"/>
            </w:pPr>
            <w:r>
              <w:rPr>
                <w:sz w:val="20"/>
              </w:rPr>
              <w:t xml:space="preserve">приоритетный проект "Автотуризм и малые объекты размещения"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2"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tc>
      </w:tr>
      <w:tr>
        <w:tblPrEx>
          <w:tblBorders>
            <w:insideH w:val="nil"/>
          </w:tblBorders>
        </w:tblPrEx>
        <w:tc>
          <w:tcPr>
            <w:tcW w:w="2835" w:type="dxa"/>
            <w:tcBorders>
              <w:bottom w:val="nil"/>
            </w:tcBorders>
          </w:tcPr>
          <w:p>
            <w:pPr>
              <w:pStyle w:val="0"/>
            </w:pPr>
            <w:r>
              <w:rPr>
                <w:sz w:val="20"/>
              </w:rPr>
              <w:t xml:space="preserve">Финансовое обеспечение государственной программы - всего, в том числе по годам реализации</w:t>
            </w:r>
          </w:p>
        </w:tc>
        <w:tc>
          <w:tcPr>
            <w:tcW w:w="6236" w:type="dxa"/>
            <w:tcBorders>
              <w:bottom w:val="nil"/>
            </w:tcBorders>
          </w:tcPr>
          <w:p>
            <w:pPr>
              <w:pStyle w:val="0"/>
              <w:jc w:val="both"/>
            </w:pPr>
            <w:r>
              <w:rPr>
                <w:sz w:val="20"/>
              </w:rPr>
              <w:t xml:space="preserve">Общий объем финансирования государственной программы составляет 965370,2 тыс. рублей, в том числе:</w:t>
            </w:r>
          </w:p>
          <w:p>
            <w:pPr>
              <w:pStyle w:val="0"/>
              <w:jc w:val="both"/>
            </w:pPr>
            <w:r>
              <w:rPr>
                <w:sz w:val="20"/>
              </w:rPr>
              <w:t xml:space="preserve">2022 год - 213624,7 тыс. рублей;</w:t>
            </w:r>
          </w:p>
          <w:p>
            <w:pPr>
              <w:pStyle w:val="0"/>
              <w:jc w:val="both"/>
            </w:pPr>
            <w:r>
              <w:rPr>
                <w:sz w:val="20"/>
              </w:rPr>
              <w:t xml:space="preserve">2023 год - 450777,0 тыс. рублей;</w:t>
            </w:r>
          </w:p>
          <w:p>
            <w:pPr>
              <w:pStyle w:val="0"/>
              <w:jc w:val="both"/>
            </w:pPr>
            <w:r>
              <w:rPr>
                <w:sz w:val="20"/>
              </w:rPr>
              <w:t xml:space="preserve">2024 год - 161955,9 тыс. рублей;</w:t>
            </w:r>
          </w:p>
          <w:p>
            <w:pPr>
              <w:pStyle w:val="0"/>
              <w:jc w:val="both"/>
            </w:pPr>
            <w:r>
              <w:rPr>
                <w:sz w:val="20"/>
              </w:rPr>
              <w:t xml:space="preserve">2025 год - 139012,6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3" w:tooltip="Постановление Правительства Ленинградской области от 24.08.2023 N 58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24.08.2023 N 585)</w:t>
            </w:r>
          </w:p>
        </w:tc>
      </w:tr>
      <w:tr>
        <w:tblPrEx>
          <w:tblBorders>
            <w:insideH w:val="nil"/>
          </w:tblBorders>
        </w:tblPrEx>
        <w:tc>
          <w:tcPr>
            <w:tcW w:w="2835" w:type="dxa"/>
            <w:tcBorders>
              <w:bottom w:val="nil"/>
            </w:tcBorders>
          </w:tcPr>
          <w:p>
            <w:pPr>
              <w:pStyle w:val="0"/>
            </w:pPr>
            <w:r>
              <w:rPr>
                <w:sz w:val="20"/>
              </w:rPr>
              <w:t xml:space="preserve">Размер налоговых расходов, направленных на достижение цели государственной программы, - всего, в том числе по годам реализации</w:t>
            </w:r>
          </w:p>
        </w:tc>
        <w:tc>
          <w:tcPr>
            <w:tcW w:w="6236" w:type="dxa"/>
            <w:tcBorders>
              <w:bottom w:val="nil"/>
            </w:tcBorders>
          </w:tcPr>
          <w:p>
            <w:pPr>
              <w:pStyle w:val="0"/>
              <w:jc w:val="both"/>
            </w:pPr>
            <w:r>
              <w:rPr>
                <w:sz w:val="20"/>
              </w:rPr>
              <w:t xml:space="preserve">Общий объем налоговых расходов составляет 783566,0 тыс. рублей, в том числе:</w:t>
            </w:r>
          </w:p>
          <w:p>
            <w:pPr>
              <w:pStyle w:val="0"/>
              <w:jc w:val="both"/>
            </w:pPr>
            <w:r>
              <w:rPr>
                <w:sz w:val="20"/>
              </w:rPr>
              <w:t xml:space="preserve">2022 год - 183250,0 тыс. рублей;</w:t>
            </w:r>
          </w:p>
          <w:p>
            <w:pPr>
              <w:pStyle w:val="0"/>
              <w:jc w:val="both"/>
            </w:pPr>
            <w:r>
              <w:rPr>
                <w:sz w:val="20"/>
              </w:rPr>
              <w:t xml:space="preserve">2023 год - 184372,0 тыс. рублей;</w:t>
            </w:r>
          </w:p>
          <w:p>
            <w:pPr>
              <w:pStyle w:val="0"/>
              <w:jc w:val="both"/>
            </w:pPr>
            <w:r>
              <w:rPr>
                <w:sz w:val="20"/>
              </w:rPr>
              <w:t xml:space="preserve">2024 год - 207972,0 тыс. рублей;</w:t>
            </w:r>
          </w:p>
          <w:p>
            <w:pPr>
              <w:pStyle w:val="0"/>
              <w:jc w:val="both"/>
            </w:pPr>
            <w:r>
              <w:rPr>
                <w:sz w:val="20"/>
              </w:rPr>
              <w:t xml:space="preserve">2025 год - 207972,0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4"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tc>
      </w:tr>
    </w:tbl>
    <w:p>
      <w:pPr>
        <w:pStyle w:val="0"/>
        <w:ind w:firstLine="540"/>
        <w:jc w:val="both"/>
      </w:pPr>
      <w:r>
        <w:rPr>
          <w:sz w:val="20"/>
        </w:rPr>
      </w:r>
    </w:p>
    <w:p>
      <w:pPr>
        <w:pStyle w:val="2"/>
        <w:outlineLvl w:val="1"/>
        <w:jc w:val="center"/>
      </w:pPr>
      <w:r>
        <w:rPr>
          <w:sz w:val="20"/>
        </w:rPr>
        <w:t xml:space="preserve">1. Общая характеристика, основные проблемы и прогноз</w:t>
      </w:r>
    </w:p>
    <w:p>
      <w:pPr>
        <w:pStyle w:val="2"/>
        <w:jc w:val="center"/>
      </w:pPr>
      <w:r>
        <w:rPr>
          <w:sz w:val="20"/>
        </w:rPr>
        <w:t xml:space="preserve">развития сферы реализации государственной программы</w:t>
      </w:r>
    </w:p>
    <w:p>
      <w:pPr>
        <w:pStyle w:val="0"/>
        <w:jc w:val="center"/>
      </w:pPr>
      <w:r>
        <w:rPr>
          <w:sz w:val="20"/>
        </w:rPr>
      </w:r>
    </w:p>
    <w:p>
      <w:pPr>
        <w:pStyle w:val="2"/>
        <w:outlineLvl w:val="2"/>
        <w:ind w:firstLine="540"/>
        <w:jc w:val="both"/>
      </w:pPr>
      <w:r>
        <w:rPr>
          <w:sz w:val="20"/>
        </w:rPr>
        <w:t xml:space="preserve">1.1. Общая характеристика сферы реализации государственной программы</w:t>
      </w:r>
    </w:p>
    <w:p>
      <w:pPr>
        <w:pStyle w:val="0"/>
        <w:ind w:firstLine="540"/>
        <w:jc w:val="both"/>
      </w:pPr>
      <w:r>
        <w:rPr>
          <w:sz w:val="20"/>
        </w:rPr>
        <w:t xml:space="preserve">(в ред. </w:t>
      </w:r>
      <w:hyperlink w:history="0" r:id="rId35"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ind w:firstLine="540"/>
        <w:jc w:val="both"/>
      </w:pPr>
      <w:r>
        <w:rPr>
          <w:sz w:val="20"/>
        </w:rPr>
      </w:r>
    </w:p>
    <w:p>
      <w:pPr>
        <w:pStyle w:val="0"/>
        <w:ind w:firstLine="540"/>
        <w:jc w:val="both"/>
      </w:pPr>
      <w:r>
        <w:rPr>
          <w:sz w:val="20"/>
        </w:rPr>
        <w:t xml:space="preserve">В Ленинградской области наблюдается устойчивая положительная динамика по объемам туристского потока и объемам оказанных услуг в сфере туризма.</w:t>
      </w:r>
    </w:p>
    <w:p>
      <w:pPr>
        <w:pStyle w:val="0"/>
        <w:spacing w:before="200" w:line-rule="auto"/>
        <w:ind w:firstLine="540"/>
        <w:jc w:val="both"/>
      </w:pPr>
      <w:r>
        <w:rPr>
          <w:sz w:val="20"/>
        </w:rPr>
        <w:t xml:space="preserve">Динамика туристского потока в Ленинградской области приведена в таблице: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191"/>
        <w:gridCol w:w="1191"/>
        <w:gridCol w:w="1191"/>
        <w:gridCol w:w="1191"/>
        <w:gridCol w:w="1191"/>
        <w:gridCol w:w="1247"/>
      </w:tblGrid>
      <w:tr>
        <w:tc>
          <w:tcPr>
            <w:tcW w:w="1871" w:type="dxa"/>
          </w:tcPr>
          <w:p>
            <w:pPr>
              <w:pStyle w:val="0"/>
            </w:pPr>
            <w:r>
              <w:rPr>
                <w:sz w:val="20"/>
              </w:rPr>
              <w:t xml:space="preserve">Показатель</w:t>
            </w:r>
          </w:p>
        </w:tc>
        <w:tc>
          <w:tcPr>
            <w:tcW w:w="1191" w:type="dxa"/>
          </w:tcPr>
          <w:p>
            <w:pPr>
              <w:pStyle w:val="0"/>
              <w:jc w:val="center"/>
            </w:pPr>
            <w:r>
              <w:rPr>
                <w:sz w:val="20"/>
              </w:rPr>
              <w:t xml:space="preserve">2016 год</w:t>
            </w:r>
          </w:p>
        </w:tc>
        <w:tc>
          <w:tcPr>
            <w:tcW w:w="1191" w:type="dxa"/>
          </w:tcPr>
          <w:p>
            <w:pPr>
              <w:pStyle w:val="0"/>
              <w:jc w:val="center"/>
            </w:pPr>
            <w:r>
              <w:rPr>
                <w:sz w:val="20"/>
              </w:rPr>
              <w:t xml:space="preserve">2017 год</w:t>
            </w:r>
          </w:p>
        </w:tc>
        <w:tc>
          <w:tcPr>
            <w:tcW w:w="1191" w:type="dxa"/>
          </w:tcPr>
          <w:p>
            <w:pPr>
              <w:pStyle w:val="0"/>
              <w:jc w:val="center"/>
            </w:pPr>
            <w:r>
              <w:rPr>
                <w:sz w:val="20"/>
              </w:rPr>
              <w:t xml:space="preserve">2018 год</w:t>
            </w:r>
          </w:p>
        </w:tc>
        <w:tc>
          <w:tcPr>
            <w:tcW w:w="1191" w:type="dxa"/>
          </w:tcPr>
          <w:p>
            <w:pPr>
              <w:pStyle w:val="0"/>
              <w:jc w:val="center"/>
            </w:pPr>
            <w:r>
              <w:rPr>
                <w:sz w:val="20"/>
              </w:rPr>
              <w:t xml:space="preserve">2019 год</w:t>
            </w:r>
          </w:p>
        </w:tc>
        <w:tc>
          <w:tcPr>
            <w:tcW w:w="1191" w:type="dxa"/>
          </w:tcPr>
          <w:p>
            <w:pPr>
              <w:pStyle w:val="0"/>
              <w:jc w:val="center"/>
            </w:pPr>
            <w:r>
              <w:rPr>
                <w:sz w:val="20"/>
              </w:rPr>
              <w:t xml:space="preserve">2020 год</w:t>
            </w:r>
          </w:p>
        </w:tc>
        <w:tc>
          <w:tcPr>
            <w:tcW w:w="1247" w:type="dxa"/>
          </w:tcPr>
          <w:p>
            <w:pPr>
              <w:pStyle w:val="0"/>
              <w:jc w:val="center"/>
            </w:pPr>
            <w:r>
              <w:rPr>
                <w:sz w:val="20"/>
              </w:rPr>
              <w:t xml:space="preserve">2021 год</w:t>
            </w:r>
          </w:p>
        </w:tc>
      </w:tr>
      <w:tr>
        <w:tc>
          <w:tcPr>
            <w:tcW w:w="1871" w:type="dxa"/>
          </w:tcPr>
          <w:p>
            <w:pPr>
              <w:pStyle w:val="0"/>
            </w:pPr>
            <w:r>
              <w:rPr>
                <w:sz w:val="20"/>
              </w:rPr>
              <w:t xml:space="preserve">Туристы, чел.</w:t>
            </w:r>
          </w:p>
        </w:tc>
        <w:tc>
          <w:tcPr>
            <w:tcW w:w="1191" w:type="dxa"/>
          </w:tcPr>
          <w:p>
            <w:pPr>
              <w:pStyle w:val="0"/>
              <w:jc w:val="center"/>
            </w:pPr>
            <w:r>
              <w:rPr>
                <w:sz w:val="20"/>
              </w:rPr>
              <w:t xml:space="preserve">1274591</w:t>
            </w:r>
          </w:p>
        </w:tc>
        <w:tc>
          <w:tcPr>
            <w:tcW w:w="1191" w:type="dxa"/>
          </w:tcPr>
          <w:p>
            <w:pPr>
              <w:pStyle w:val="0"/>
              <w:jc w:val="center"/>
            </w:pPr>
            <w:r>
              <w:rPr>
                <w:sz w:val="20"/>
              </w:rPr>
              <w:t xml:space="preserve">1323647</w:t>
            </w:r>
          </w:p>
        </w:tc>
        <w:tc>
          <w:tcPr>
            <w:tcW w:w="1191" w:type="dxa"/>
          </w:tcPr>
          <w:p>
            <w:pPr>
              <w:pStyle w:val="0"/>
              <w:jc w:val="center"/>
            </w:pPr>
            <w:r>
              <w:rPr>
                <w:sz w:val="20"/>
              </w:rPr>
              <w:t xml:space="preserve">1659480</w:t>
            </w:r>
          </w:p>
        </w:tc>
        <w:tc>
          <w:tcPr>
            <w:tcW w:w="1191" w:type="dxa"/>
          </w:tcPr>
          <w:p>
            <w:pPr>
              <w:pStyle w:val="0"/>
              <w:jc w:val="center"/>
            </w:pPr>
            <w:r>
              <w:rPr>
                <w:sz w:val="20"/>
              </w:rPr>
              <w:t xml:space="preserve">1723718</w:t>
            </w:r>
          </w:p>
        </w:tc>
        <w:tc>
          <w:tcPr>
            <w:tcW w:w="1191" w:type="dxa"/>
          </w:tcPr>
          <w:p>
            <w:pPr>
              <w:pStyle w:val="0"/>
              <w:jc w:val="center"/>
            </w:pPr>
            <w:r>
              <w:rPr>
                <w:sz w:val="20"/>
              </w:rPr>
              <w:t xml:space="preserve">1532370</w:t>
            </w:r>
          </w:p>
        </w:tc>
        <w:tc>
          <w:tcPr>
            <w:tcW w:w="1247" w:type="dxa"/>
          </w:tcPr>
          <w:p>
            <w:pPr>
              <w:pStyle w:val="0"/>
              <w:jc w:val="center"/>
            </w:pPr>
            <w:r>
              <w:rPr>
                <w:sz w:val="20"/>
              </w:rPr>
              <w:t xml:space="preserve">1661843</w:t>
            </w:r>
          </w:p>
        </w:tc>
      </w:tr>
      <w:tr>
        <w:tc>
          <w:tcPr>
            <w:tcW w:w="1871" w:type="dxa"/>
          </w:tcPr>
          <w:p>
            <w:pPr>
              <w:pStyle w:val="0"/>
            </w:pPr>
            <w:r>
              <w:rPr>
                <w:sz w:val="20"/>
              </w:rPr>
              <w:t xml:space="preserve">Экскурсанты, чел.</w:t>
            </w:r>
          </w:p>
        </w:tc>
        <w:tc>
          <w:tcPr>
            <w:tcW w:w="1191" w:type="dxa"/>
          </w:tcPr>
          <w:p>
            <w:pPr>
              <w:pStyle w:val="0"/>
              <w:jc w:val="center"/>
            </w:pPr>
            <w:r>
              <w:rPr>
                <w:sz w:val="20"/>
              </w:rPr>
              <w:t xml:space="preserve">1780757</w:t>
            </w:r>
          </w:p>
        </w:tc>
        <w:tc>
          <w:tcPr>
            <w:tcW w:w="1191" w:type="dxa"/>
          </w:tcPr>
          <w:p>
            <w:pPr>
              <w:pStyle w:val="0"/>
              <w:jc w:val="center"/>
            </w:pPr>
            <w:r>
              <w:rPr>
                <w:sz w:val="20"/>
              </w:rPr>
              <w:t xml:space="preserve">1683031 &lt;*&gt;</w:t>
            </w:r>
          </w:p>
        </w:tc>
        <w:tc>
          <w:tcPr>
            <w:tcW w:w="1191" w:type="dxa"/>
          </w:tcPr>
          <w:p>
            <w:pPr>
              <w:pStyle w:val="0"/>
              <w:jc w:val="center"/>
            </w:pPr>
            <w:r>
              <w:rPr>
                <w:sz w:val="20"/>
              </w:rPr>
              <w:t xml:space="preserve">3570802</w:t>
            </w:r>
          </w:p>
        </w:tc>
        <w:tc>
          <w:tcPr>
            <w:tcW w:w="1191" w:type="dxa"/>
          </w:tcPr>
          <w:p>
            <w:pPr>
              <w:pStyle w:val="0"/>
              <w:jc w:val="center"/>
            </w:pPr>
            <w:r>
              <w:rPr>
                <w:sz w:val="20"/>
              </w:rPr>
              <w:t xml:space="preserve">4010973</w:t>
            </w:r>
          </w:p>
        </w:tc>
        <w:tc>
          <w:tcPr>
            <w:tcW w:w="1191" w:type="dxa"/>
          </w:tcPr>
          <w:p>
            <w:pPr>
              <w:pStyle w:val="0"/>
              <w:jc w:val="center"/>
            </w:pPr>
            <w:r>
              <w:rPr>
                <w:sz w:val="20"/>
              </w:rPr>
              <w:t xml:space="preserve">3227646</w:t>
            </w:r>
          </w:p>
        </w:tc>
        <w:tc>
          <w:tcPr>
            <w:tcW w:w="1247" w:type="dxa"/>
          </w:tcPr>
          <w:p>
            <w:pPr>
              <w:pStyle w:val="0"/>
              <w:jc w:val="center"/>
            </w:pPr>
            <w:r>
              <w:rPr>
                <w:sz w:val="20"/>
              </w:rPr>
              <w:t xml:space="preserve">3245762</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Снижение числа экскурсантов в 2017 году объясняется временным закрытием на реставрацию двух крупнейших объектов туристского интереса: Выборгский объединенный музей-заповедник и Государственный историко-архитектурный и природный музей-заповедник "Парк Монрепо".</w:t>
      </w:r>
    </w:p>
    <w:p>
      <w:pPr>
        <w:pStyle w:val="0"/>
        <w:ind w:firstLine="540"/>
        <w:jc w:val="both"/>
      </w:pPr>
      <w:r>
        <w:rPr>
          <w:sz w:val="20"/>
        </w:rPr>
      </w:r>
    </w:p>
    <w:p>
      <w:pPr>
        <w:pStyle w:val="0"/>
        <w:ind w:firstLine="540"/>
        <w:jc w:val="both"/>
      </w:pPr>
      <w:r>
        <w:rPr>
          <w:sz w:val="20"/>
        </w:rPr>
        <w:t xml:space="preserve">Увеличение числа туристов и экскурсантов в 2018 году объясняется проведением в Ленинградской области в Год туризма масштабной работы по продвижению Ленинградской области на международном и российском туристских рынках, что послужило росту популярности отдыха и туризма в Ленинградской области, достижению высоких показателей.</w:t>
      </w:r>
    </w:p>
    <w:p>
      <w:pPr>
        <w:pStyle w:val="0"/>
        <w:spacing w:before="200" w:line-rule="auto"/>
        <w:ind w:firstLine="540"/>
        <w:jc w:val="both"/>
      </w:pPr>
      <w:r>
        <w:rPr>
          <w:sz w:val="20"/>
        </w:rPr>
        <w:t xml:space="preserve">Немаловажную роль в обеспечении положительной динамики в сфере туризма в Ленинградской области имеет политика органов государственной власти по продвижению туристского потенциала на внутреннем и внешнем рынках, развитию и совершенствованию туристской инфраструктуры, улучшению инвестиционного климата в сфере туризма.</w:t>
      </w:r>
    </w:p>
    <w:p>
      <w:pPr>
        <w:pStyle w:val="0"/>
        <w:spacing w:before="200" w:line-rule="auto"/>
        <w:ind w:firstLine="540"/>
        <w:jc w:val="both"/>
      </w:pPr>
      <w:r>
        <w:rPr>
          <w:sz w:val="20"/>
        </w:rPr>
        <w:t xml:space="preserve">Объективными факторами, задававшими направление развития туризма в Ленинградской области,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 наличие образовательных учреждений, готовящих профессиональные кадры в туристической отрасли.</w:t>
      </w:r>
    </w:p>
    <w:p>
      <w:pPr>
        <w:pStyle w:val="0"/>
        <w:spacing w:before="200" w:line-rule="auto"/>
        <w:ind w:firstLine="540"/>
        <w:jc w:val="both"/>
      </w:pPr>
      <w:r>
        <w:rPr>
          <w:sz w:val="20"/>
        </w:rPr>
        <w:t xml:space="preserve">На начало 2022 года в Ленинградской области насчитывалось 935 коллективных средств размещения на 66485 койко-мест, в том числе 437 загородных отелей, туристских баз, баз отдыха, 199 гостиниц, 19 санаториев и пансионатов, 97 детских лагерей, 99 гостевых домов, 56 хостелов, 14 кемпингов и 14 глэмпингов. Из них классифицированных объектов размещения с 2017 года - 259 (без звезд - 127 объектов, 1 звезда - 5 объектов, 2 звезды - 31 объект, 3 звезды - 78 объектов, 4 звезды - 16 объектов, 5 звезд - 2 объекта).</w:t>
      </w:r>
    </w:p>
    <w:p>
      <w:pPr>
        <w:pStyle w:val="0"/>
        <w:spacing w:before="200" w:line-rule="auto"/>
        <w:ind w:firstLine="540"/>
        <w:jc w:val="both"/>
      </w:pPr>
      <w:r>
        <w:rPr>
          <w:sz w:val="20"/>
        </w:rPr>
        <w:t xml:space="preserve">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за год, по некоторым объектам - до 80 проц.). В летний период объем загрузки этих коллективных средств размещения приближается к 100 процентам.</w:t>
      </w:r>
    </w:p>
    <w:p>
      <w:pPr>
        <w:pStyle w:val="0"/>
        <w:spacing w:before="200" w:line-rule="auto"/>
        <w:ind w:firstLine="540"/>
        <w:jc w:val="both"/>
      </w:pPr>
      <w:r>
        <w:rPr>
          <w:sz w:val="20"/>
        </w:rPr>
        <w:t xml:space="preserve">В Ленинградской области насчитывается 1566 организаций общественного питания, в том числе 188 ресторанов, 1186 кафе и 192 столовые.</w:t>
      </w:r>
    </w:p>
    <w:p>
      <w:pPr>
        <w:pStyle w:val="0"/>
        <w:spacing w:before="200" w:line-rule="auto"/>
        <w:ind w:firstLine="540"/>
        <w:jc w:val="both"/>
      </w:pPr>
      <w:r>
        <w:rPr>
          <w:sz w:val="20"/>
        </w:rPr>
        <w:t xml:space="preserve">Транспортное обслуживание туристов на территории Ленинградской области осуществляется автомобильным, железнодорожным и водным транспортом.</w:t>
      </w:r>
    </w:p>
    <w:p>
      <w:pPr>
        <w:pStyle w:val="0"/>
        <w:spacing w:before="200" w:line-rule="auto"/>
        <w:ind w:firstLine="540"/>
        <w:jc w:val="both"/>
      </w:pPr>
      <w:r>
        <w:rPr>
          <w:sz w:val="20"/>
        </w:rPr>
        <w:t xml:space="preserve">На сегодняшний день туристские маршруты Ленинградской области, помимо автомобильного транспорта, обеспечены железнодорожным сопровождением, в том числе скоростными поездами "Ласточка" по маршрутам: Санкт-Петербург - Выборг, Санкт-Петербург - Гатчина - Луга, Санкт-Петербург - Всеволожск, Санкт-Петербург - Любань, Санкт-Петербург - Волховстрой - Лодейное Поле - Свирь.</w:t>
      </w:r>
    </w:p>
    <w:p>
      <w:pPr>
        <w:pStyle w:val="0"/>
        <w:spacing w:before="200" w:line-rule="auto"/>
        <w:ind w:firstLine="540"/>
        <w:jc w:val="both"/>
      </w:pPr>
      <w:r>
        <w:rPr>
          <w:sz w:val="20"/>
        </w:rPr>
        <w:t xml:space="preserve">В летнее время часть туристского потока в Ленинградскую область прибывает круизным флотом. Одним из самых популярных у туристов направлений стал круиз в дер. Верхние Мандроги, в которую в 2021 году было совершено 195 судозаходов (21044 человека). В г. Лодейное Поле совершено 82 судозахода (13100 человек), в пос. Свирьстрой - 115 судозаходов (18300 человек), в с. Старая Ладога - 81 судозаход (13365 человек).</w:t>
      </w:r>
    </w:p>
    <w:p>
      <w:pPr>
        <w:pStyle w:val="0"/>
        <w:spacing w:before="200" w:line-rule="auto"/>
        <w:ind w:firstLine="540"/>
        <w:jc w:val="both"/>
      </w:pPr>
      <w:r>
        <w:rPr>
          <w:sz w:val="20"/>
        </w:rPr>
        <w:t xml:space="preserve">Выгодное географическое расположение региона и большое количество объектов туристского интереса, неразрывно связанных с его историей, делают Ленинградскую область привлекательной для любителей практически всех видов туризма.</w:t>
      </w:r>
    </w:p>
    <w:p>
      <w:pPr>
        <w:pStyle w:val="0"/>
        <w:spacing w:before="200" w:line-rule="auto"/>
        <w:ind w:firstLine="540"/>
        <w:jc w:val="both"/>
      </w:pPr>
      <w:r>
        <w:rPr>
          <w:sz w:val="20"/>
        </w:rPr>
        <w:t xml:space="preserve">Важнейшим конкурентным преимуществом Ленинградской области является ее богатое историко-культурное наследие. В Ленинградской области насчитывается более 5200 объектов культурного наследия, в том числе объектов ЮНЕСКО, которые представляют огромную ценность и доступны туристам. Среди них три дворцово-парковых ансамбля, 186 бывших дворянских усадеб и памятных мест. Ленинградская область является единственным регионом Российской Федерации, на территории которого расположено шесть средневековых крепостей.</w:t>
      </w:r>
    </w:p>
    <w:p>
      <w:pPr>
        <w:pStyle w:val="0"/>
        <w:spacing w:before="200" w:line-rule="auto"/>
        <w:ind w:firstLine="540"/>
        <w:jc w:val="both"/>
      </w:pPr>
      <w:r>
        <w:rPr>
          <w:sz w:val="20"/>
        </w:rPr>
        <w:t xml:space="preserve">Богатый культурный потенциал Ленинградской области представлен в маршрутах Ленинградской области, разработанных в рамках крупномасштабных туристских проектов "Серебряное ожерелье России", "Русские усадьбы", "Маяки Ленинградской области", "Жизнь замечательных людей", "Государева дорога", "Суворов", "По местам Александра Невского", "Путь Петра Великого" и др.</w:t>
      </w:r>
    </w:p>
    <w:p>
      <w:pPr>
        <w:pStyle w:val="0"/>
        <w:spacing w:before="200" w:line-rule="auto"/>
        <w:ind w:firstLine="540"/>
        <w:jc w:val="both"/>
      </w:pPr>
      <w:r>
        <w:rPr>
          <w:sz w:val="20"/>
        </w:rPr>
        <w:t xml:space="preserve">Военно-патриотический туризм в Ленинградской области связан с историческим прошлым региона. Территория Ленинградской области в последнее тысячелетие являлась ареной кровопролитных сражений, битв и войн, длившихся порой десятилетиями. Каждая пядь земли хранит в себе память о тех трудных временах. Сегодня на территории области находится более 750 памятников боевой славы.</w:t>
      </w:r>
    </w:p>
    <w:p>
      <w:pPr>
        <w:pStyle w:val="0"/>
        <w:spacing w:before="200" w:line-rule="auto"/>
        <w:ind w:firstLine="540"/>
        <w:jc w:val="both"/>
      </w:pPr>
      <w:r>
        <w:rPr>
          <w:sz w:val="20"/>
        </w:rPr>
        <w:t xml:space="preserve">Ленинградская область обладает уникальными ресурсами и для религиозного туризма и паломничества (12 монастырей). Многовековая традиция паломничества в Ленинградской области связана с духовными центрами в Тихвине, Старой Ладоге, на о. Коневец, в Лодейнопольском районе, которые представляют собой уникальные памятники русского православия и народного зодчества. В восточных районах Ленинградской области (Присвирье) сохранились великолепные памятники русского деревянного зодчества (церкви и жилые постройки).</w:t>
      </w:r>
    </w:p>
    <w:p>
      <w:pPr>
        <w:pStyle w:val="0"/>
        <w:spacing w:before="200" w:line-rule="auto"/>
        <w:ind w:firstLine="540"/>
        <w:jc w:val="both"/>
      </w:pPr>
      <w:r>
        <w:rPr>
          <w:sz w:val="20"/>
        </w:rPr>
        <w:t xml:space="preserve">Ленинградская область - уникальная земля, на которой проживают народы разных культур: русские, карелы, вепсы, ижоры, водь, ингерманландские финны и др. В восточных районах области сохранились народные промыслы, уникальная песенно-музыкальная и танцевальная культура коренных малочисленных народов Ленинградской области, что обусловливает высокий потенциал развития этнографического туризма в регионе.</w:t>
      </w:r>
    </w:p>
    <w:p>
      <w:pPr>
        <w:pStyle w:val="0"/>
        <w:spacing w:before="200" w:line-rule="auto"/>
        <w:ind w:firstLine="540"/>
        <w:jc w:val="both"/>
      </w:pPr>
      <w:r>
        <w:rPr>
          <w:sz w:val="20"/>
        </w:rPr>
        <w:t xml:space="preserve">В Ленинградской области созданы условия для развития одного из наиболее перспективных и социально значимых видов туризма - детского туризма. По данным за 2021 год, в Ленинградской области функционируют 97 средств размещения для отдыха, оздоровления и организации досуга детей и юношества (в том числе детские оздоровительные лагеря). Кроме того, в регионе расположены контактные зоопарки, парки семейного активного отдыха, школа рафтинга, конные клубы, ориентированные на детскую аудиторию.</w:t>
      </w:r>
    </w:p>
    <w:p>
      <w:pPr>
        <w:pStyle w:val="0"/>
        <w:spacing w:before="200" w:line-rule="auto"/>
        <w:ind w:firstLine="540"/>
        <w:jc w:val="both"/>
      </w:pPr>
      <w:r>
        <w:rPr>
          <w:sz w:val="20"/>
        </w:rPr>
        <w:t xml:space="preserve">Еще одним перспективным направлением является сельский туризм, позволяющий горожанам приобщиться к традиционному укладу жизни сельских жителей. Важность указанного вида туризма определяется его возможностями стать источником дополнительного, а иногда и основного дохода для сельского населения. В Ленинградской области работает более 120 объектов сельского туризма.</w:t>
      </w:r>
    </w:p>
    <w:p>
      <w:pPr>
        <w:pStyle w:val="0"/>
        <w:spacing w:before="200" w:line-rule="auto"/>
        <w:ind w:firstLine="540"/>
        <w:jc w:val="both"/>
      </w:pPr>
      <w:r>
        <w:rPr>
          <w:sz w:val="20"/>
        </w:rPr>
        <w:t xml:space="preserve">Отличаются разнообразием предложения активного отдыха. В Ленинградской области работают семь горнолыжных курортов, соответствующих мировым стандартам индустрии туризма, получивших признание и популярность у любителей горных лыж и сноуборда. В Лужском, Волосовском и других районах Ленинградской области развивается коневодство, верховая езда, прогулки на лошадях и конные туристские маршруты, устраиваются конные праздники. Значительный интерес у туристов и экскурсантов вызывают веревочные парки - новый аттракцион, ставший популярным в Европе и набирающий популярность в регионе. Наибольшее количество парков расположено в Выборгском, Приозерском, Всеволожском районах. Большой популярностью в Ленинградской области пользуются веломаршруты, которые различаются по длительности и сложности. По территории Ленинградской области проходят два веломаршрута, входящих в общеевропейскую сеть веломаршрутов "Евровело 10", "Евровело 13". Организуются такие экстремальные развлечения, как прыжки с парашютом.</w:t>
      </w:r>
    </w:p>
    <w:p>
      <w:pPr>
        <w:pStyle w:val="0"/>
        <w:spacing w:before="200" w:line-rule="auto"/>
        <w:ind w:firstLine="540"/>
        <w:jc w:val="both"/>
      </w:pPr>
      <w:r>
        <w:rPr>
          <w:sz w:val="20"/>
        </w:rPr>
        <w:t xml:space="preserve">На территории Ленинградской области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ГОЭЛРО - старейшая гидроэлектростанция в России, которая снабжала электроэнергией блокадный Ленинград и действует по настоящее время.</w:t>
      </w:r>
    </w:p>
    <w:p>
      <w:pPr>
        <w:pStyle w:val="0"/>
        <w:jc w:val="both"/>
      </w:pPr>
      <w:r>
        <w:rPr>
          <w:sz w:val="20"/>
        </w:rPr>
        <w:t xml:space="preserve">(в ред. </w:t>
      </w:r>
      <w:hyperlink w:history="0" r:id="rId36"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27.03.2023 N 197)</w:t>
      </w:r>
    </w:p>
    <w:p>
      <w:pPr>
        <w:pStyle w:val="0"/>
        <w:spacing w:before="200" w:line-rule="auto"/>
        <w:ind w:firstLine="540"/>
        <w:jc w:val="both"/>
      </w:pPr>
      <w:r>
        <w:rPr>
          <w:sz w:val="20"/>
        </w:rPr>
        <w:t xml:space="preserve">Ежегодно формируемый календарь событий и праздников на территории Ленинградской области создает основу событийного туризма. В календаре представлено более 500 ярких культурных, событийных, спортивных, военно-патриотических и других мероприятий. Среди них исторические реконструкции разных эпох, киномузыкальные фестивали, велопробеги, зрелищные соревнования, конкурсы, регаты. С каждым годом растет не только количество, но и качество этих мероприятий.</w:t>
      </w:r>
    </w:p>
    <w:p>
      <w:pPr>
        <w:pStyle w:val="0"/>
        <w:spacing w:before="200" w:line-rule="auto"/>
        <w:ind w:firstLine="540"/>
        <w:jc w:val="both"/>
      </w:pPr>
      <w:r>
        <w:rPr>
          <w:sz w:val="20"/>
        </w:rPr>
        <w:t xml:space="preserve">Проведенный анализ реализованных и потенциальных возможностей туристской индустрии Ленинградской области позволяет сделать вывод о том, что в регионе имеется значительный туристский потенциал. Вместе с тем существует ряд проблем, характерных для современного состояния сферы туризма в целом в Российской Федерации.</w:t>
      </w:r>
    </w:p>
    <w:p>
      <w:pPr>
        <w:pStyle w:val="0"/>
        <w:ind w:firstLine="540"/>
        <w:jc w:val="both"/>
      </w:pPr>
      <w:r>
        <w:rPr>
          <w:sz w:val="20"/>
        </w:rPr>
      </w:r>
    </w:p>
    <w:p>
      <w:pPr>
        <w:pStyle w:val="2"/>
        <w:outlineLvl w:val="2"/>
        <w:ind w:firstLine="540"/>
        <w:jc w:val="both"/>
      </w:pPr>
      <w:r>
        <w:rPr>
          <w:sz w:val="20"/>
        </w:rPr>
        <w:t xml:space="preserve">1.2. Основные проблемы в сфере реализации государственной программы</w:t>
      </w:r>
    </w:p>
    <w:p>
      <w:pPr>
        <w:pStyle w:val="0"/>
        <w:ind w:firstLine="540"/>
        <w:jc w:val="both"/>
      </w:pPr>
      <w:r>
        <w:rPr>
          <w:sz w:val="20"/>
        </w:rPr>
      </w:r>
    </w:p>
    <w:p>
      <w:pPr>
        <w:pStyle w:val="0"/>
        <w:ind w:firstLine="540"/>
        <w:jc w:val="both"/>
      </w:pPr>
      <w:r>
        <w:rPr>
          <w:sz w:val="20"/>
        </w:rPr>
        <w:t xml:space="preserve">Основными проблемами, сдерживающими развитие туризма в Ленинградской области, являются:</w:t>
      </w:r>
    </w:p>
    <w:p>
      <w:pPr>
        <w:pStyle w:val="0"/>
        <w:spacing w:before="200" w:line-rule="auto"/>
        <w:ind w:firstLine="540"/>
        <w:jc w:val="both"/>
      </w:pPr>
      <w:r>
        <w:rPr>
          <w:sz w:val="20"/>
        </w:rPr>
        <w:t xml:space="preserve">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объектов досуга и развлечения на туристских маршрутах);</w:t>
      </w:r>
    </w:p>
    <w:p>
      <w:pPr>
        <w:pStyle w:val="0"/>
        <w:spacing w:before="200" w:line-rule="auto"/>
        <w:ind w:firstLine="540"/>
        <w:jc w:val="both"/>
      </w:pPr>
      <w:r>
        <w:rPr>
          <w:sz w:val="20"/>
        </w:rPr>
        <w:t xml:space="preserve">недостаточная квалификация кадров в объектах размещения и питания, гидов и экскурсоводов;</w:t>
      </w:r>
    </w:p>
    <w:p>
      <w:pPr>
        <w:pStyle w:val="0"/>
        <w:spacing w:before="200" w:line-rule="auto"/>
        <w:ind w:firstLine="540"/>
        <w:jc w:val="both"/>
      </w:pPr>
      <w:r>
        <w:rPr>
          <w:sz w:val="20"/>
        </w:rPr>
        <w:t xml:space="preserve">неразвитая инфраструктура водного и велосипедного туризма;</w:t>
      </w:r>
    </w:p>
    <w:p>
      <w:pPr>
        <w:pStyle w:val="0"/>
        <w:spacing w:before="200" w:line-rule="auto"/>
        <w:ind w:firstLine="540"/>
        <w:jc w:val="both"/>
      </w:pPr>
      <w:r>
        <w:rPr>
          <w:sz w:val="20"/>
        </w:rPr>
        <w:t xml:space="preserve">недостаточная информированность о Ленинградской области как туристском направлении;</w:t>
      </w:r>
    </w:p>
    <w:p>
      <w:pPr>
        <w:pStyle w:val="0"/>
        <w:spacing w:before="200" w:line-rule="auto"/>
        <w:ind w:firstLine="540"/>
        <w:jc w:val="both"/>
      </w:pPr>
      <w:r>
        <w:rPr>
          <w:sz w:val="20"/>
        </w:rPr>
        <w:t xml:space="preserve">недостаточный уровень межотраслевой координации и взаимодействия при решении вопросов развития туризма;</w:t>
      </w:r>
    </w:p>
    <w:p>
      <w:pPr>
        <w:pStyle w:val="0"/>
        <w:spacing w:before="200" w:line-rule="auto"/>
        <w:ind w:firstLine="540"/>
        <w:jc w:val="both"/>
      </w:pPr>
      <w:r>
        <w:rPr>
          <w:sz w:val="20"/>
        </w:rPr>
        <w:t xml:space="preserve">законодательством (федеральные законы от 24 ноября 1996 года </w:t>
      </w:r>
      <w:hyperlink w:history="0" r:id="rId37"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N 132-ФЗ</w:t>
        </w:r>
      </w:hyperlink>
      <w:r>
        <w:rPr>
          <w:sz w:val="20"/>
        </w:rPr>
        <w:t xml:space="preserve"> "Об основах туристской деятельности в Российской Федерации", от 6 октября 2003 года </w:t>
      </w:r>
      <w:hyperlink w:history="0" r:id="rId3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закреплено только право органов местного самоуправления по созданию условий развития туризма, но не закреплены обязанности;</w:t>
      </w:r>
    </w:p>
    <w:p>
      <w:pPr>
        <w:pStyle w:val="0"/>
        <w:spacing w:before="200" w:line-rule="auto"/>
        <w:ind w:firstLine="540"/>
        <w:jc w:val="both"/>
      </w:pPr>
      <w:r>
        <w:rPr>
          <w:sz w:val="20"/>
        </w:rPr>
        <w:t xml:space="preserve">уровень развития приоритетных видов (направлений) туризма (внутренний туризм, въездной туризм, социальный туризм, сельский туризм, детский туризм, студенческий туризм и самодеятельный туризм), не соответствующий имеющемуся туристическому потенциалу Ленинградской области (за исключением наиболее развитого вида туризма - культурно-познавательного);</w:t>
      </w:r>
    </w:p>
    <w:p>
      <w:pPr>
        <w:pStyle w:val="0"/>
        <w:jc w:val="both"/>
      </w:pPr>
      <w:r>
        <w:rPr>
          <w:sz w:val="20"/>
        </w:rPr>
        <w:t xml:space="preserve">(в ред. </w:t>
      </w:r>
      <w:hyperlink w:history="0" r:id="rId39"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неразвитость сети информационно-туристских центров.</w:t>
      </w:r>
    </w:p>
    <w:p>
      <w:pPr>
        <w:pStyle w:val="0"/>
        <w:spacing w:before="200" w:line-rule="auto"/>
        <w:ind w:firstLine="540"/>
        <w:jc w:val="both"/>
      </w:pPr>
      <w:r>
        <w:rPr>
          <w:sz w:val="20"/>
        </w:rPr>
        <w:t xml:space="preserve">Минимизировать негативное влияние перечисленных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Ленинградской области.</w:t>
      </w:r>
    </w:p>
    <w:p>
      <w:pPr>
        <w:pStyle w:val="0"/>
        <w:ind w:firstLine="540"/>
        <w:jc w:val="both"/>
      </w:pPr>
      <w:r>
        <w:rPr>
          <w:sz w:val="20"/>
        </w:rPr>
      </w:r>
    </w:p>
    <w:p>
      <w:pPr>
        <w:pStyle w:val="2"/>
        <w:outlineLvl w:val="2"/>
        <w:ind w:firstLine="540"/>
        <w:jc w:val="both"/>
      </w:pPr>
      <w:r>
        <w:rPr>
          <w:sz w:val="20"/>
        </w:rPr>
        <w:t xml:space="preserve">1.3. Прогноз развития сферы реализации государственной программы</w:t>
      </w:r>
    </w:p>
    <w:p>
      <w:pPr>
        <w:pStyle w:val="0"/>
        <w:ind w:firstLine="540"/>
        <w:jc w:val="both"/>
      </w:pPr>
      <w:r>
        <w:rPr>
          <w:sz w:val="20"/>
        </w:rPr>
      </w:r>
    </w:p>
    <w:p>
      <w:pPr>
        <w:pStyle w:val="0"/>
        <w:ind w:firstLine="540"/>
        <w:jc w:val="both"/>
      </w:pPr>
      <w:r>
        <w:rPr>
          <w:sz w:val="20"/>
        </w:rPr>
        <w:t xml:space="preserve">В настоящее время при отсутствии государственной поддержки туристская отрасль региона продолжит развиваться, однако характер развития будет преимущественно эволюционным, стихийным, темпы развития - невысокими.</w:t>
      </w:r>
    </w:p>
    <w:p>
      <w:pPr>
        <w:pStyle w:val="0"/>
        <w:spacing w:before="200" w:line-rule="auto"/>
        <w:ind w:firstLine="540"/>
        <w:jc w:val="both"/>
      </w:pPr>
      <w:r>
        <w:rPr>
          <w:sz w:val="20"/>
        </w:rPr>
        <w:t xml:space="preserve">Для Ленинградской области такой сценарий означает потери - неиспользованные экономические возможности, которые в ином случае могли бы быть конвертированы в налоговые поступления в бюджет и способствовать росту благосостояния жителей Ленинградской области.</w:t>
      </w:r>
    </w:p>
    <w:p>
      <w:pPr>
        <w:pStyle w:val="0"/>
        <w:spacing w:before="200" w:line-rule="auto"/>
        <w:ind w:firstLine="540"/>
        <w:jc w:val="both"/>
      </w:pPr>
      <w:r>
        <w:rPr>
          <w:sz w:val="20"/>
        </w:rPr>
        <w:t xml:space="preserve">В рамках реализации государственной программы планируется решение комплекса задач, которые будут направлены на увеличение доходности туризма на основе развития инфраструктуры за счет повышения конкурентоспособности и привлекательности туристской сферы, повышение эффективности использования туристского потенциала региона, расширения рынка туристских и сопутствующих услуг, оказываемых на территории Ленинградской области.</w:t>
      </w:r>
    </w:p>
    <w:p>
      <w:pPr>
        <w:pStyle w:val="0"/>
        <w:jc w:val="both"/>
      </w:pPr>
      <w:r>
        <w:rPr>
          <w:sz w:val="20"/>
        </w:rPr>
        <w:t xml:space="preserve">(абзац введен </w:t>
      </w:r>
      <w:hyperlink w:history="0" r:id="rId40"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30.12.2022 N 1013)</w:t>
      </w:r>
    </w:p>
    <w:p>
      <w:pPr>
        <w:pStyle w:val="0"/>
        <w:ind w:firstLine="540"/>
        <w:jc w:val="both"/>
      </w:pPr>
      <w:r>
        <w:rPr>
          <w:sz w:val="20"/>
        </w:rPr>
      </w:r>
    </w:p>
    <w:p>
      <w:pPr>
        <w:pStyle w:val="2"/>
        <w:outlineLvl w:val="1"/>
        <w:jc w:val="center"/>
      </w:pPr>
      <w:r>
        <w:rPr>
          <w:sz w:val="20"/>
        </w:rPr>
        <w:t xml:space="preserve">2. Приоритеты и цели государственной политики в сфере</w:t>
      </w:r>
    </w:p>
    <w:p>
      <w:pPr>
        <w:pStyle w:val="2"/>
        <w:jc w:val="center"/>
      </w:pPr>
      <w:r>
        <w:rPr>
          <w:sz w:val="20"/>
        </w:rPr>
        <w:t xml:space="preserve">реализации государственной программы</w:t>
      </w:r>
    </w:p>
    <w:p>
      <w:pPr>
        <w:pStyle w:val="0"/>
        <w:jc w:val="center"/>
      </w:pPr>
      <w:r>
        <w:rPr>
          <w:sz w:val="20"/>
        </w:rPr>
      </w:r>
    </w:p>
    <w:p>
      <w:pPr>
        <w:pStyle w:val="0"/>
        <w:ind w:firstLine="540"/>
        <w:jc w:val="both"/>
      </w:pPr>
      <w:hyperlink w:history="0" r:id="rId4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w:t>
      </w:r>
      <w:hyperlink w:history="0" r:id="rId42"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Стратегией</w:t>
        </w:r>
      </w:hyperlink>
      <w:r>
        <w:rPr>
          <w:sz w:val="20"/>
        </w:rP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 (далее - Стратегия), государственной </w:t>
      </w:r>
      <w:hyperlink w:history="0" r:id="rId43" w:tooltip="Постановление Правительства РФ от 24.12.2021 N 2439 (ред. от 14.07.2023) &quot;Об утверждении государственной программы Российской Федерации &quot;Развитие туризма&quot; {КонсультантПлюс}">
        <w:r>
          <w:rPr>
            <w:sz w:val="20"/>
            <w:color w:val="0000ff"/>
          </w:rPr>
          <w:t xml:space="preserve">программой</w:t>
        </w:r>
      </w:hyperlink>
      <w:r>
        <w:rPr>
          <w:sz w:val="20"/>
        </w:rPr>
        <w:t xml:space="preserve"> Российской Федерации "Развитие туризма", утвержденной постановлением Правительства Российской Федерации от 24 декабря 2021 года N 2439, и </w:t>
      </w:r>
      <w:hyperlink w:history="0" r:id="rId44" w:tooltip="Областной закон Ленинградской области от 08.08.2016 N 76-оз (ред. от 19.12.2019) &quot;О Стратегии социально-экономического развития Ленинградской области до 2030 года и признании утратившим силу областного закона &quot;О Концепции социально-экономического развития Ленинградской области на период до 2025 года&quot; (принят ЗС ЛО 13.07.2016) {КонсультантПлюс}">
        <w:r>
          <w:rPr>
            <w:sz w:val="20"/>
            <w:color w:val="0000ff"/>
          </w:rPr>
          <w:t xml:space="preserve">Стратегией</w:t>
        </w:r>
      </w:hyperlink>
      <w:r>
        <w:rPr>
          <w:sz w:val="20"/>
        </w:rPr>
        <w:t xml:space="preserve"> социально-экономического развития Ленинградской области до 2030 года, утвержденной областным законом от 8 августа 2016 года N 76-оз, установлены:</w:t>
      </w:r>
    </w:p>
    <w:p>
      <w:pPr>
        <w:pStyle w:val="0"/>
        <w:jc w:val="both"/>
      </w:pPr>
      <w:r>
        <w:rPr>
          <w:sz w:val="20"/>
        </w:rPr>
        <w:t xml:space="preserve">(в ред. </w:t>
      </w:r>
      <w:hyperlink w:history="0" r:id="rId45" w:tooltip="Постановление Правительства Ленинградской области от 01.07.2022 N 45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01.07.2022 N 457)</w:t>
      </w:r>
    </w:p>
    <w:p>
      <w:pPr>
        <w:pStyle w:val="0"/>
        <w:spacing w:before="200" w:line-rule="auto"/>
        <w:ind w:firstLine="540"/>
        <w:jc w:val="both"/>
      </w:pPr>
      <w:r>
        <w:rPr>
          <w:sz w:val="20"/>
        </w:rPr>
        <w:t xml:space="preserve">1. Цели государственной политики Российской Федерации в сфере туризма:</w:t>
      </w:r>
    </w:p>
    <w:p>
      <w:pPr>
        <w:pStyle w:val="0"/>
        <w:spacing w:before="200" w:line-rule="auto"/>
        <w:ind w:firstLine="540"/>
        <w:jc w:val="both"/>
      </w:pPr>
      <w:r>
        <w:rPr>
          <w:sz w:val="20"/>
        </w:rPr>
        <w:t xml:space="preserve">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w:t>
      </w:r>
    </w:p>
    <w:p>
      <w:pPr>
        <w:pStyle w:val="0"/>
        <w:spacing w:before="200" w:line-rule="auto"/>
        <w:ind w:firstLine="540"/>
        <w:jc w:val="both"/>
      </w:pPr>
      <w:r>
        <w:rPr>
          <w:sz w:val="20"/>
        </w:rPr>
        <w:t xml:space="preserve">усиление социальной роли туризма, увеличение доступности услуг туризма, отдыха и оздоровления для всех жителей Российской Федерации.</w:t>
      </w:r>
    </w:p>
    <w:p>
      <w:pPr>
        <w:pStyle w:val="0"/>
        <w:spacing w:before="200" w:line-rule="auto"/>
        <w:ind w:firstLine="540"/>
        <w:jc w:val="both"/>
      </w:pPr>
      <w:r>
        <w:rPr>
          <w:sz w:val="20"/>
        </w:rPr>
        <w:t xml:space="preserve">2. Приоритеты государственной политики Российской Федерации в сфере туризма:</w:t>
      </w:r>
    </w:p>
    <w:p>
      <w:pPr>
        <w:pStyle w:val="0"/>
        <w:spacing w:before="200" w:line-rule="auto"/>
        <w:ind w:firstLine="540"/>
        <w:jc w:val="both"/>
      </w:pPr>
      <w:r>
        <w:rPr>
          <w:sz w:val="20"/>
        </w:rPr>
        <w:t xml:space="preserve">развитие въездного и внутреннего туризма на основе развития инфраструктуры, формирования и продвижения конкурентоспособного туристского продукта, повышение доступности туристских услуг для населения.</w:t>
      </w:r>
    </w:p>
    <w:p>
      <w:pPr>
        <w:pStyle w:val="0"/>
        <w:jc w:val="both"/>
      </w:pPr>
      <w:r>
        <w:rPr>
          <w:sz w:val="20"/>
        </w:rPr>
      </w:r>
    </w:p>
    <w:p>
      <w:pPr>
        <w:pStyle w:val="2"/>
        <w:outlineLvl w:val="1"/>
        <w:jc w:val="center"/>
      </w:pPr>
      <w:r>
        <w:rPr>
          <w:sz w:val="20"/>
        </w:rPr>
        <w:t xml:space="preserve">3. Информация о проектах и комплексах процессных мероприятий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Задача 1. Увеличение занятости и доходности в туристской сфере.</w:t>
      </w:r>
    </w:p>
    <w:p>
      <w:pPr>
        <w:pStyle w:val="0"/>
        <w:spacing w:before="200" w:line-rule="auto"/>
        <w:ind w:firstLine="540"/>
        <w:jc w:val="both"/>
      </w:pPr>
      <w:r>
        <w:rPr>
          <w:sz w:val="20"/>
        </w:rPr>
        <w:t xml:space="preserve">В рамках выполнения задачи государственной программы предусматривается реализация следующих мероприятий:</w:t>
      </w:r>
    </w:p>
    <w:p>
      <w:pPr>
        <w:pStyle w:val="0"/>
        <w:spacing w:before="200" w:line-rule="auto"/>
        <w:ind w:firstLine="540"/>
        <w:jc w:val="both"/>
      </w:pPr>
      <w:r>
        <w:rPr>
          <w:sz w:val="20"/>
        </w:rPr>
        <w:t xml:space="preserve">3.1. Федеральный (региональный) проект "Развитие туристической инфраструктуры", в рамках которого осуществляется поддержка реализации общественных инициатив, направленных на развитие туристической инфраструктуры, на создание модульных некапитальных средств размещения (кемпингов и автокемпингов), поддержка развития инфраструктуры туризма.</w:t>
      </w:r>
    </w:p>
    <w:p>
      <w:pPr>
        <w:pStyle w:val="0"/>
        <w:spacing w:before="200" w:line-rule="auto"/>
        <w:ind w:firstLine="540"/>
        <w:jc w:val="both"/>
      </w:pPr>
      <w:r>
        <w:rPr>
          <w:sz w:val="20"/>
        </w:rPr>
        <w:t xml:space="preserve">Структурный элемент включает:</w:t>
      </w:r>
    </w:p>
    <w:p>
      <w:pPr>
        <w:pStyle w:val="0"/>
        <w:spacing w:before="200" w:line-rule="auto"/>
        <w:ind w:firstLine="540"/>
        <w:jc w:val="both"/>
      </w:pPr>
      <w:r>
        <w:rPr>
          <w:sz w:val="20"/>
        </w:rPr>
        <w:t xml:space="preserve">предоставление субсидий юридическим лицам, не являющимся государственными (муниципальными) учреждениями, и индивидуальным предпринимателям в целях осуществления поддержки реализации общественных инициатив, направленных на развитие туристической инфраструктуры на территории Ленинградской области, в соответствии с </w:t>
      </w:r>
      <w:hyperlink w:history="0" w:anchor="P1924" w:tooltip="ПОРЯДОК">
        <w:r>
          <w:rPr>
            <w:sz w:val="20"/>
            <w:color w:val="0000ff"/>
          </w:rPr>
          <w:t xml:space="preserve">Порядком</w:t>
        </w:r>
      </w:hyperlink>
      <w:r>
        <w:rPr>
          <w:sz w:val="20"/>
        </w:rPr>
        <w:t xml:space="preserve"> определения объема и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в целях обеспечения поддержки реализации общественных инициатив, направленных на развитие туристической инфраструктуры на территории Ленинградской области (приложение 4 к государственной программе), по следующим направлениям:</w:t>
      </w:r>
    </w:p>
    <w:p>
      <w:pPr>
        <w:pStyle w:val="0"/>
        <w:spacing w:before="200" w:line-rule="auto"/>
        <w:ind w:firstLine="540"/>
        <w:jc w:val="both"/>
      </w:pPr>
      <w:r>
        <w:rPr>
          <w:sz w:val="20"/>
        </w:rPr>
        <w:t xml:space="preserve">а) создание и(или) развитие пляжей на берегах морей, рек, озер, водохранилищ или иных водных объектов;</w:t>
      </w:r>
    </w:p>
    <w:p>
      <w:pPr>
        <w:pStyle w:val="0"/>
        <w:spacing w:before="200" w:line-rule="auto"/>
        <w:ind w:firstLine="540"/>
        <w:jc w:val="both"/>
      </w:pPr>
      <w:r>
        <w:rPr>
          <w:sz w:val="20"/>
        </w:rPr>
        <w:t xml:space="preserve">б) создание и(или) развитие национальных туристских маршрутов, определенных в соответствии с </w:t>
      </w:r>
      <w:hyperlink w:history="0" r:id="rId46" w:tooltip="Постановление Правительства РФ от 29.11.2021 N 2086 (ред. от 26.12.2022) &quot;Об утверждении Правил определения национальных туристских маршрутов&quot; {КонсультантПлюс}">
        <w:r>
          <w:rPr>
            <w:sz w:val="20"/>
            <w:color w:val="0000ff"/>
          </w:rPr>
          <w:t xml:space="preserve">Правилами</w:t>
        </w:r>
      </w:hyperlink>
      <w:r>
        <w:rPr>
          <w:sz w:val="20"/>
        </w:rPr>
        <w:t xml:space="preserve"> определения национальных туристских маршрутов, утвержденными постановлением Правительства Российской Федерации от 29 ноября 2021 года N 2086 "Об утверждении Правил определения национальных туристских маршрутов";</w:t>
      </w:r>
    </w:p>
    <w:p>
      <w:pPr>
        <w:pStyle w:val="0"/>
        <w:spacing w:before="200" w:line-rule="auto"/>
        <w:ind w:firstLine="540"/>
        <w:jc w:val="both"/>
      </w:pPr>
      <w:r>
        <w:rPr>
          <w:sz w:val="20"/>
        </w:rPr>
        <w:t xml:space="preserve">предоставление субсидий юридическим лицам, не являющимся государственными (муниципальными) учреждениями, и индивидуальным предпринимателям в целях осуществления поддержки общественных инициатив на создание модульных некапитальных средств размещения (кемпингов и автокемпингов) на территории Ленинградской области в соответствии с </w:t>
      </w:r>
      <w:hyperlink w:history="0" w:anchor="P2135" w:tooltip="ПОРЯДОК">
        <w:r>
          <w:rPr>
            <w:sz w:val="20"/>
            <w:color w:val="0000ff"/>
          </w:rPr>
          <w:t xml:space="preserve">Порядком</w:t>
        </w:r>
      </w:hyperlink>
      <w:r>
        <w:rPr>
          <w:sz w:val="20"/>
        </w:rPr>
        <w:t xml:space="preserve"> определения объема и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в целях обеспечения поддержки общественных инициатив на создание модульных некапитальных средств размещения (кемпингов и автокемпингов) на территории Ленинградской области (приложение 5 к государственной программе);</w:t>
      </w:r>
    </w:p>
    <w:p>
      <w:pPr>
        <w:pStyle w:val="0"/>
        <w:spacing w:before="200" w:line-rule="auto"/>
        <w:ind w:firstLine="540"/>
        <w:jc w:val="both"/>
      </w:pPr>
      <w:r>
        <w:rPr>
          <w:sz w:val="20"/>
        </w:rPr>
        <w:t xml:space="preserve">предоставление субсидий юридическим лицам, не являющимся государственными (муниципальными) учреждениями, и индивидуальным предпринимателям в целях осуществления государственной поддержки развития инфраструктуры туризма на территории Ленинградской области в соответствии с </w:t>
      </w:r>
      <w:hyperlink w:history="0" w:anchor="P2360" w:tooltip="ПОРЯДОК">
        <w:r>
          <w:rPr>
            <w:sz w:val="20"/>
            <w:color w:val="0000ff"/>
          </w:rPr>
          <w:t xml:space="preserve">Порядком</w:t>
        </w:r>
      </w:hyperlink>
      <w:r>
        <w:rPr>
          <w:sz w:val="20"/>
        </w:rPr>
        <w:t xml:space="preserve"> определения объема и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в целях осуществления государственной поддержки развития инфраструктуры туризма на территории Ленинградской области (приложение 6 к государственной программе), по следующим направлениям:</w:t>
      </w:r>
    </w:p>
    <w:p>
      <w:pPr>
        <w:pStyle w:val="0"/>
        <w:spacing w:before="200" w:line-rule="auto"/>
        <w:ind w:firstLine="540"/>
        <w:jc w:val="both"/>
      </w:pPr>
      <w:r>
        <w:rPr>
          <w:sz w:val="20"/>
        </w:rPr>
        <w:t xml:space="preserve">а) приобретение туристского оборудования (оборудование, снаряжение, инвентарь, средства передвижения, экипировка, товары для отдыха, предназначенные для обеспечения туристской деятельности),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w:t>
      </w:r>
    </w:p>
    <w:p>
      <w:pPr>
        <w:pStyle w:val="0"/>
        <w:spacing w:before="200" w:line-rule="auto"/>
        <w:ind w:firstLine="540"/>
        <w:jc w:val="both"/>
      </w:pPr>
      <w:r>
        <w:rPr>
          <w:sz w:val="20"/>
        </w:rPr>
        <w:t xml:space="preserve">б) разработка новых туристских маршрутов (включая маркировку, навигацию, обеспечение безопасности, организацию выделенных зон отдыха);</w:t>
      </w:r>
    </w:p>
    <w:p>
      <w:pPr>
        <w:pStyle w:val="0"/>
        <w:spacing w:before="200" w:line-rule="auto"/>
        <w:ind w:firstLine="540"/>
        <w:jc w:val="both"/>
      </w:pPr>
      <w:r>
        <w:rPr>
          <w:sz w:val="20"/>
        </w:rPr>
        <w:t xml:space="preserve">в)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w:t>
      </w:r>
    </w:p>
    <w:p>
      <w:pPr>
        <w:pStyle w:val="0"/>
        <w:spacing w:before="200" w:line-rule="auto"/>
        <w:ind w:firstLine="540"/>
        <w:jc w:val="both"/>
      </w:pPr>
      <w:r>
        <w:rPr>
          <w:sz w:val="20"/>
        </w:rPr>
        <w:t xml:space="preserve">предоставление субсидий юридическим лицам, не являющимся некоммерческими организациями, государственными (муниципальными) учреждениями, и индивидуальным предпринимателям на финансовое обеспечение затрат на приобретение и монтаж модульных некапитальных средств размещения при реализации инвестиционных проектов по созданию модульных некапитальных средств размещения.</w:t>
      </w:r>
    </w:p>
    <w:p>
      <w:pPr>
        <w:pStyle w:val="0"/>
        <w:jc w:val="both"/>
      </w:pPr>
      <w:r>
        <w:rPr>
          <w:sz w:val="20"/>
        </w:rPr>
        <w:t xml:space="preserve">(абзац введен </w:t>
      </w:r>
      <w:hyperlink w:history="0" r:id="rId47" w:tooltip="Постановление Правительства Ленинградской области от 24.08.2023 N 58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24.08.2023 N 585)</w:t>
      </w:r>
    </w:p>
    <w:p>
      <w:pPr>
        <w:pStyle w:val="0"/>
        <w:jc w:val="both"/>
      </w:pPr>
      <w:r>
        <w:rPr>
          <w:sz w:val="20"/>
        </w:rPr>
        <w:t xml:space="preserve">(п. 3.1 в ред. </w:t>
      </w:r>
      <w:hyperlink w:history="0" r:id="rId48" w:tooltip="Постановление Правительства Ленинградской области от 21.06.2023 N 414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21.06.2023 N 414)</w:t>
      </w:r>
    </w:p>
    <w:p>
      <w:pPr>
        <w:pStyle w:val="0"/>
        <w:spacing w:before="200" w:line-rule="auto"/>
        <w:ind w:firstLine="540"/>
        <w:jc w:val="both"/>
      </w:pPr>
      <w:hyperlink w:history="0" r:id="rId49" w:tooltip="Постановление Правительства Ленинградской области от 01.07.2022 N 45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3.2</w:t>
        </w:r>
      </w:hyperlink>
      <w:r>
        <w:rPr>
          <w:sz w:val="20"/>
        </w:rPr>
        <w:t xml:space="preserve">. Мероприятия, направленные на достижение цели федерального проекта "Развитие туристической инфраструктуры", предусматривающие создание на территории Ленинградской области туристской инфраструктуры.</w:t>
      </w:r>
    </w:p>
    <w:p>
      <w:pPr>
        <w:pStyle w:val="0"/>
        <w:spacing w:before="200" w:line-rule="auto"/>
        <w:ind w:firstLine="540"/>
        <w:jc w:val="both"/>
      </w:pPr>
      <w:r>
        <w:rPr>
          <w:sz w:val="20"/>
        </w:rPr>
        <w:t xml:space="preserve">Структурный элемент включает:</w:t>
      </w:r>
    </w:p>
    <w:p>
      <w:pPr>
        <w:pStyle w:val="0"/>
        <w:spacing w:before="200" w:line-rule="auto"/>
        <w:ind w:firstLine="540"/>
        <w:jc w:val="both"/>
      </w:pPr>
      <w:r>
        <w:rPr>
          <w:sz w:val="20"/>
        </w:rPr>
        <w:t xml:space="preserve">создание на территории Ленинградской области объектов придорожной инфраструктуры "Зеленые стоянки", разработку проектно-сметной документации;</w:t>
      </w:r>
    </w:p>
    <w:p>
      <w:pPr>
        <w:pStyle w:val="0"/>
        <w:spacing w:before="200" w:line-rule="auto"/>
        <w:ind w:firstLine="540"/>
        <w:jc w:val="both"/>
      </w:pPr>
      <w:r>
        <w:rPr>
          <w:sz w:val="20"/>
        </w:rPr>
        <w:t xml:space="preserve">создание на территории Ленинградской области универсальных средств размещения (кемпингов), разработку проектно-сметной документации;</w:t>
      </w:r>
    </w:p>
    <w:p>
      <w:pPr>
        <w:pStyle w:val="0"/>
        <w:spacing w:before="200" w:line-rule="auto"/>
        <w:ind w:firstLine="540"/>
        <w:jc w:val="both"/>
      </w:pPr>
      <w:r>
        <w:rPr>
          <w:sz w:val="20"/>
        </w:rPr>
        <w:t xml:space="preserve">создание на территории Ленинградской области туристского тематического парка;</w:t>
      </w:r>
    </w:p>
    <w:p>
      <w:pPr>
        <w:pStyle w:val="0"/>
        <w:spacing w:before="200" w:line-rule="auto"/>
        <w:ind w:firstLine="540"/>
        <w:jc w:val="both"/>
      </w:pPr>
      <w:r>
        <w:rPr>
          <w:sz w:val="20"/>
        </w:rPr>
        <w:t xml:space="preserve">развитие системы туристской навигации, ориентирующей информации и создание туристских объектов, содержащих информационный контент.</w:t>
      </w:r>
    </w:p>
    <w:p>
      <w:pPr>
        <w:pStyle w:val="0"/>
        <w:jc w:val="both"/>
      </w:pPr>
      <w:r>
        <w:rPr>
          <w:sz w:val="20"/>
        </w:rPr>
        <w:t xml:space="preserve">(в ред. </w:t>
      </w:r>
      <w:hyperlink w:history="0" r:id="rId50"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3.3. Приоритетный проект "Вело 47". В рамках указанного приоритетного проекта предусматривается предоставление субсидий на реализацию мероприятий по созданию и развитию активных видов туризма.</w:t>
      </w:r>
    </w:p>
    <w:p>
      <w:pPr>
        <w:pStyle w:val="0"/>
        <w:jc w:val="both"/>
      </w:pPr>
      <w:r>
        <w:rPr>
          <w:sz w:val="20"/>
        </w:rPr>
        <w:t xml:space="preserve">(в ред. </w:t>
      </w:r>
      <w:hyperlink w:history="0" r:id="rId51"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Структурный элемент включает:</w:t>
      </w:r>
    </w:p>
    <w:p>
      <w:pPr>
        <w:pStyle w:val="0"/>
        <w:spacing w:before="200" w:line-rule="auto"/>
        <w:ind w:firstLine="540"/>
        <w:jc w:val="both"/>
      </w:pPr>
      <w:r>
        <w:rPr>
          <w:sz w:val="20"/>
        </w:rPr>
        <w:t xml:space="preserve">предоставление субсидии муниципальным образованиям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соответствии с </w:t>
      </w:r>
      <w:hyperlink w:history="0" w:anchor="P1274" w:tooltip="ПОРЯДОК">
        <w:r>
          <w:rPr>
            <w:sz w:val="20"/>
            <w:color w:val="0000ff"/>
          </w:rPr>
          <w:t xml:space="preserve">Порядком</w:t>
        </w:r>
      </w:hyperlink>
      <w:r>
        <w:rPr>
          <w:sz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(приложение 1 к государственной программе).</w:t>
      </w:r>
    </w:p>
    <w:p>
      <w:pPr>
        <w:pStyle w:val="0"/>
        <w:spacing w:before="200" w:line-rule="auto"/>
        <w:ind w:firstLine="540"/>
        <w:jc w:val="both"/>
      </w:pPr>
      <w:r>
        <w:rPr>
          <w:sz w:val="20"/>
        </w:rPr>
        <w:t xml:space="preserve">3.4. Приоритетный проект "Курорт 47". В рамках указанного приоритетного проекта предусматривается содействие запуску проектов всесезонных масштабных туристско-рекреационных комплексов в Ленинградской области.</w:t>
      </w:r>
    </w:p>
    <w:p>
      <w:pPr>
        <w:pStyle w:val="0"/>
        <w:jc w:val="both"/>
      </w:pPr>
      <w:r>
        <w:rPr>
          <w:sz w:val="20"/>
        </w:rPr>
        <w:t xml:space="preserve">(п. 3.4 введен </w:t>
      </w:r>
      <w:hyperlink w:history="0" r:id="rId52"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30.12.2022 N 1013)</w:t>
      </w:r>
    </w:p>
    <w:p>
      <w:pPr>
        <w:pStyle w:val="0"/>
        <w:spacing w:before="200" w:line-rule="auto"/>
        <w:ind w:firstLine="540"/>
        <w:jc w:val="both"/>
      </w:pPr>
      <w:hyperlink w:history="0" r:id="rId53"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3.5</w:t>
        </w:r>
      </w:hyperlink>
      <w:r>
        <w:rPr>
          <w:sz w:val="20"/>
        </w:rPr>
        <w:t xml:space="preserve">. Комплекс процессных мероприятий "Развитие туристского потенциала Ленинградской области".</w:t>
      </w:r>
    </w:p>
    <w:p>
      <w:pPr>
        <w:pStyle w:val="0"/>
        <w:spacing w:before="200" w:line-rule="auto"/>
        <w:ind w:firstLine="540"/>
        <w:jc w:val="both"/>
      </w:pPr>
      <w:r>
        <w:rPr>
          <w:sz w:val="20"/>
        </w:rPr>
        <w:t xml:space="preserve">Структурный элемент включает:</w:t>
      </w:r>
    </w:p>
    <w:p>
      <w:pPr>
        <w:pStyle w:val="0"/>
        <w:spacing w:before="200" w:line-rule="auto"/>
        <w:ind w:firstLine="540"/>
        <w:jc w:val="both"/>
      </w:pPr>
      <w:hyperlink w:history="0" r:id="rId54"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3.5.1</w:t>
        </w:r>
      </w:hyperlink>
      <w:r>
        <w:rPr>
          <w:sz w:val="20"/>
        </w:rPr>
        <w:t xml:space="preserve">. Создание и развитие сети туристских информационных центров. Мероприятие нацелено на информационное обеспечение туризма, развитие информационных туристских центров в Ленинградской области и предусматривает:</w:t>
      </w:r>
    </w:p>
    <w:p>
      <w:pPr>
        <w:pStyle w:val="0"/>
        <w:spacing w:before="200" w:line-rule="auto"/>
        <w:ind w:firstLine="540"/>
        <w:jc w:val="both"/>
      </w:pPr>
      <w:r>
        <w:rPr>
          <w:sz w:val="20"/>
        </w:rPr>
        <w:t xml:space="preserve">создание филиалов ГБУ ЛО "Информационно-туристский центр";</w:t>
      </w:r>
    </w:p>
    <w:p>
      <w:pPr>
        <w:pStyle w:val="0"/>
        <w:spacing w:before="200" w:line-rule="auto"/>
        <w:ind w:firstLine="540"/>
        <w:jc w:val="both"/>
      </w:pPr>
      <w:r>
        <w:rPr>
          <w:sz w:val="20"/>
        </w:rPr>
        <w:t xml:space="preserve">оказание содействия развитию действующих и вновь создаваемых информационных туристских центров посредством методических рекомендаций и информирования.</w:t>
      </w:r>
    </w:p>
    <w:p>
      <w:pPr>
        <w:pStyle w:val="0"/>
        <w:spacing w:before="200" w:line-rule="auto"/>
        <w:ind w:firstLine="540"/>
        <w:jc w:val="both"/>
      </w:pPr>
      <w:hyperlink w:history="0" r:id="rId55"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3.5.2</w:t>
        </w:r>
      </w:hyperlink>
      <w:r>
        <w:rPr>
          <w:sz w:val="20"/>
        </w:rPr>
        <w:t xml:space="preserve">. Предоставление субсидий некоммерческим организациям на реализацию проектов, направленных на формирование комфортной туристской среды на территории Ленинградской области, в соответствии с </w:t>
      </w:r>
      <w:hyperlink w:history="0" w:anchor="P1450" w:tooltip="ПОРЯДОК">
        <w:r>
          <w:rPr>
            <w:sz w:val="20"/>
            <w:color w:val="0000ff"/>
          </w:rPr>
          <w:t xml:space="preserve">Порядком</w:t>
        </w:r>
      </w:hyperlink>
      <w:r>
        <w:rPr>
          <w:sz w:val="20"/>
        </w:rPr>
        <w:t xml:space="preserve"> определения объема и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(приложение 2 к государственной программе).</w:t>
      </w:r>
    </w:p>
    <w:p>
      <w:pPr>
        <w:pStyle w:val="0"/>
        <w:spacing w:before="200" w:line-rule="auto"/>
        <w:ind w:firstLine="540"/>
        <w:jc w:val="both"/>
      </w:pPr>
      <w:r>
        <w:rPr>
          <w:sz w:val="20"/>
        </w:rPr>
        <w:t xml:space="preserve">Задача 2. 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pPr>
        <w:pStyle w:val="0"/>
        <w:jc w:val="both"/>
      </w:pPr>
      <w:r>
        <w:rPr>
          <w:sz w:val="20"/>
        </w:rPr>
        <w:t xml:space="preserve">(в ред. </w:t>
      </w:r>
      <w:hyperlink w:history="0" r:id="rId56"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В рамках выполнения задачи государственной программы предусматривается реализация следующих мероприятий:</w:t>
      </w:r>
    </w:p>
    <w:p>
      <w:pPr>
        <w:pStyle w:val="0"/>
        <w:jc w:val="both"/>
      </w:pPr>
      <w:r>
        <w:rPr>
          <w:sz w:val="20"/>
        </w:rPr>
        <w:t xml:space="preserve">(в ред. </w:t>
      </w:r>
      <w:hyperlink w:history="0" r:id="rId57"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3.6. Федеральный (региональный) проект "Повышение доступности туристических продуктов".</w:t>
      </w:r>
    </w:p>
    <w:p>
      <w:pPr>
        <w:pStyle w:val="0"/>
        <w:spacing w:before="200" w:line-rule="auto"/>
        <w:ind w:firstLine="540"/>
        <w:jc w:val="both"/>
      </w:pPr>
      <w:r>
        <w:rPr>
          <w:sz w:val="20"/>
        </w:rPr>
        <w:t xml:space="preserve">Структурный элемент включает:</w:t>
      </w:r>
    </w:p>
    <w:p>
      <w:pPr>
        <w:pStyle w:val="0"/>
        <w:spacing w:before="200" w:line-rule="auto"/>
        <w:ind w:firstLine="540"/>
        <w:jc w:val="both"/>
      </w:pPr>
      <w:r>
        <w:rPr>
          <w:sz w:val="20"/>
        </w:rPr>
        <w:t xml:space="preserve">разработка и реализация комплекса мер, направленных на повышение доступности и популяризацию туризма для детей школьного возраста посредством предоставления социального сертификата;</w:t>
      </w:r>
    </w:p>
    <w:p>
      <w:pPr>
        <w:pStyle w:val="0"/>
        <w:spacing w:before="200" w:line-rule="auto"/>
        <w:ind w:firstLine="540"/>
        <w:jc w:val="both"/>
      </w:pPr>
      <w:r>
        <w:rPr>
          <w:sz w:val="20"/>
        </w:rPr>
        <w:t xml:space="preserve">предоставление субсидий на поддержку и продвижение событийных мероприятий.</w:t>
      </w:r>
    </w:p>
    <w:p>
      <w:pPr>
        <w:pStyle w:val="0"/>
        <w:jc w:val="both"/>
      </w:pPr>
      <w:r>
        <w:rPr>
          <w:sz w:val="20"/>
        </w:rPr>
        <w:t xml:space="preserve">(п. 3.6 в ред. </w:t>
      </w:r>
      <w:hyperlink w:history="0" r:id="rId58" w:tooltip="Постановление Правительства Ленинградской области от 21.06.2023 N 414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21.06.2023 N 414)</w:t>
      </w:r>
    </w:p>
    <w:p>
      <w:pPr>
        <w:pStyle w:val="0"/>
        <w:spacing w:before="200" w:line-rule="auto"/>
        <w:ind w:firstLine="540"/>
        <w:jc w:val="both"/>
      </w:pPr>
      <w:r>
        <w:rPr>
          <w:sz w:val="20"/>
        </w:rPr>
        <w:t xml:space="preserve">3.7. Мероприятие, направленное на достижение цели федерального проекта "Повышение доступности туристических продуктов", предусматривающее формирование единой цифровой среды в сфере туризма - внедрение и модернизацию интерактивных, мультимедийных и информационных компонентов в сфере туризма.</w:t>
      </w:r>
    </w:p>
    <w:p>
      <w:pPr>
        <w:pStyle w:val="0"/>
        <w:spacing w:before="200" w:line-rule="auto"/>
        <w:ind w:firstLine="540"/>
        <w:jc w:val="both"/>
      </w:pPr>
      <w:r>
        <w:rPr>
          <w:sz w:val="20"/>
        </w:rPr>
        <w:t xml:space="preserve">Структурный элемент включает:</w:t>
      </w:r>
    </w:p>
    <w:p>
      <w:pPr>
        <w:pStyle w:val="0"/>
        <w:spacing w:before="200" w:line-rule="auto"/>
        <w:ind w:firstLine="540"/>
        <w:jc w:val="both"/>
      </w:pPr>
      <w:r>
        <w:rPr>
          <w:sz w:val="20"/>
        </w:rPr>
        <w:t xml:space="preserve">внедрение и модернизацию интерактивных, мультимедийных и информационных компонентов в сфере туризма, в том числе:</w:t>
      </w:r>
    </w:p>
    <w:p>
      <w:pPr>
        <w:pStyle w:val="0"/>
        <w:spacing w:before="200" w:line-rule="auto"/>
        <w:ind w:firstLine="540"/>
        <w:jc w:val="both"/>
      </w:pPr>
      <w:r>
        <w:rPr>
          <w:sz w:val="20"/>
        </w:rPr>
        <w:t xml:space="preserve">путеводитель по Ленинградской области для мобильных устройств, виртуальные гиды по маршрутам Ленинградской области и видам туризма, сеть информационных терминалов.</w:t>
      </w:r>
    </w:p>
    <w:p>
      <w:pPr>
        <w:pStyle w:val="0"/>
        <w:jc w:val="both"/>
      </w:pPr>
      <w:r>
        <w:rPr>
          <w:sz w:val="20"/>
        </w:rPr>
        <w:t xml:space="preserve">(п. 3.7 в ред. </w:t>
      </w:r>
      <w:hyperlink w:history="0" r:id="rId59"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3.8. Мероприятия, направленные на достижение цели федерального проекта "Совершенствование управления в сфере туризма", предусматривающие развитие кадрового потенциала в сфере туризма.</w:t>
      </w:r>
    </w:p>
    <w:p>
      <w:pPr>
        <w:pStyle w:val="0"/>
        <w:spacing w:before="200" w:line-rule="auto"/>
        <w:ind w:firstLine="540"/>
        <w:jc w:val="both"/>
      </w:pPr>
      <w:r>
        <w:rPr>
          <w:sz w:val="20"/>
        </w:rPr>
        <w:t xml:space="preserve">Структурный элемент включает:</w:t>
      </w:r>
    </w:p>
    <w:p>
      <w:pPr>
        <w:pStyle w:val="0"/>
        <w:spacing w:before="200" w:line-rule="auto"/>
        <w:ind w:firstLine="540"/>
        <w:jc w:val="both"/>
      </w:pPr>
      <w:r>
        <w:rPr>
          <w:sz w:val="20"/>
        </w:rPr>
        <w:t xml:space="preserve">организацию и проведение обучающих мероприятий для специалистов в сфере туризма и экскурсоводов;</w:t>
      </w:r>
    </w:p>
    <w:p>
      <w:pPr>
        <w:pStyle w:val="0"/>
        <w:spacing w:before="200" w:line-rule="auto"/>
        <w:ind w:firstLine="540"/>
        <w:jc w:val="both"/>
      </w:pPr>
      <w:r>
        <w:rPr>
          <w:sz w:val="20"/>
        </w:rPr>
        <w:t xml:space="preserve">проведение конкурсов среди специалистов сферы туризма Ленинградской области, в том числе конкурса профессионального мастерства среди работников сферы туризма Ленинградской области, конкурса "Лучшие в туризме Ленинградской области".</w:t>
      </w:r>
    </w:p>
    <w:p>
      <w:pPr>
        <w:pStyle w:val="0"/>
        <w:jc w:val="both"/>
      </w:pPr>
      <w:r>
        <w:rPr>
          <w:sz w:val="20"/>
        </w:rPr>
        <w:t xml:space="preserve">(п. 3.8 в ред. </w:t>
      </w:r>
      <w:hyperlink w:history="0" r:id="rId60"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3.9. Приоритетный проект "Автотуризм и малые объекты размещения". В рамках указанного приоритетного проекта предусматривается разработка концепции развития автотуризма и малых объектов размещения в Ленинградской области.</w:t>
      </w:r>
    </w:p>
    <w:p>
      <w:pPr>
        <w:pStyle w:val="0"/>
        <w:jc w:val="both"/>
      </w:pPr>
      <w:r>
        <w:rPr>
          <w:sz w:val="20"/>
        </w:rPr>
        <w:t xml:space="preserve">(п. 3.9 введен </w:t>
      </w:r>
      <w:hyperlink w:history="0" r:id="rId61"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3.10. Комплекс процессных мероприятий "Развитие туристского потенциала Ленинградской области".</w:t>
      </w:r>
    </w:p>
    <w:p>
      <w:pPr>
        <w:pStyle w:val="0"/>
        <w:spacing w:before="200" w:line-rule="auto"/>
        <w:ind w:firstLine="540"/>
        <w:jc w:val="both"/>
      </w:pPr>
      <w:r>
        <w:rPr>
          <w:sz w:val="20"/>
        </w:rPr>
        <w:t xml:space="preserve">Структурный элемент включает:</w:t>
      </w:r>
    </w:p>
    <w:p>
      <w:pPr>
        <w:pStyle w:val="0"/>
        <w:spacing w:before="200" w:line-rule="auto"/>
        <w:ind w:firstLine="540"/>
        <w:jc w:val="both"/>
      </w:pPr>
      <w:r>
        <w:rPr>
          <w:sz w:val="20"/>
        </w:rPr>
        <w:t xml:space="preserve">3.10.1. Реализацию межрегиональных и международных туристских проектов. Межрегиональные и международные туристские проекты и мероприятия способствуют активизации межрегиональных и международных связей, а также продвижению туристского потенциала региона на внутреннем и международном рынках и увеличению турпотока на территорию Ленинградской области. В рамках проектов предусматривается создание новых туристских маршрутов. Мероприятие предусматривает:</w:t>
      </w:r>
    </w:p>
    <w:p>
      <w:pPr>
        <w:pStyle w:val="0"/>
        <w:spacing w:before="200" w:line-rule="auto"/>
        <w:ind w:firstLine="540"/>
        <w:jc w:val="both"/>
      </w:pPr>
      <w:r>
        <w:rPr>
          <w:sz w:val="20"/>
        </w:rPr>
        <w:t xml:space="preserve">абзац утратил силу с 27 марта 2023 года. - </w:t>
      </w:r>
      <w:hyperlink w:history="0" r:id="rId62"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27.03.2023 N 197;</w:t>
      </w:r>
    </w:p>
    <w:p>
      <w:pPr>
        <w:pStyle w:val="0"/>
        <w:spacing w:before="200" w:line-rule="auto"/>
        <w:ind w:firstLine="540"/>
        <w:jc w:val="both"/>
      </w:pPr>
      <w:r>
        <w:rPr>
          <w:sz w:val="20"/>
        </w:rPr>
        <w:t xml:space="preserve">обеспечение участия Ленинградской области в межрегиональных и международных туристских проектах, мероприятиях национальных туристских маршрутов, в том числе "Серебряное ожерелье России", "Государева дорога" и др.</w:t>
      </w:r>
    </w:p>
    <w:p>
      <w:pPr>
        <w:pStyle w:val="0"/>
        <w:jc w:val="both"/>
      </w:pPr>
      <w:r>
        <w:rPr>
          <w:sz w:val="20"/>
        </w:rPr>
        <w:t xml:space="preserve">(в ред. </w:t>
      </w:r>
      <w:hyperlink w:history="0" r:id="rId63"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27.03.2023 N 197)</w:t>
      </w:r>
    </w:p>
    <w:p>
      <w:pPr>
        <w:pStyle w:val="0"/>
        <w:spacing w:before="200" w:line-rule="auto"/>
        <w:ind w:firstLine="540"/>
        <w:jc w:val="both"/>
      </w:pPr>
      <w:r>
        <w:rPr>
          <w:sz w:val="20"/>
        </w:rPr>
        <w:t xml:space="preserve">3.10.2. Обеспечение деятельности (услуги, работы) государственных учреждений:</w:t>
      </w:r>
    </w:p>
    <w:p>
      <w:pPr>
        <w:pStyle w:val="0"/>
        <w:spacing w:before="200" w:line-rule="auto"/>
        <w:ind w:firstLine="540"/>
        <w:jc w:val="both"/>
      </w:pPr>
      <w:r>
        <w:rPr>
          <w:sz w:val="20"/>
        </w:rPr>
        <w:t xml:space="preserve">обеспечение деятельности ГБУ ЛО "Информационно-туристский центр";</w:t>
      </w:r>
    </w:p>
    <w:p>
      <w:pPr>
        <w:pStyle w:val="0"/>
        <w:spacing w:before="200" w:line-rule="auto"/>
        <w:ind w:firstLine="540"/>
        <w:jc w:val="both"/>
      </w:pPr>
      <w:r>
        <w:rPr>
          <w:sz w:val="20"/>
        </w:rPr>
        <w:t xml:space="preserve">разработка и изготовление информационных материалов (карт, буклетов) о туристском потенциале туристско-рекреационного кластера в селе Старая Ладога Волховского района Ленинградской области;</w:t>
      </w:r>
    </w:p>
    <w:p>
      <w:pPr>
        <w:pStyle w:val="0"/>
        <w:spacing w:before="200" w:line-rule="auto"/>
        <w:ind w:firstLine="540"/>
        <w:jc w:val="both"/>
      </w:pPr>
      <w:r>
        <w:rPr>
          <w:sz w:val="20"/>
        </w:rPr>
        <w:t xml:space="preserve">проведение событийных и специализированных мероприятий по продвижению туристского потенциала туристско-рекреационного кластера в селе Старая Ладога Волховского района Ленинградской области;</w:t>
      </w:r>
    </w:p>
    <w:p>
      <w:pPr>
        <w:pStyle w:val="0"/>
        <w:spacing w:before="200" w:line-rule="auto"/>
        <w:ind w:firstLine="540"/>
        <w:jc w:val="both"/>
      </w:pPr>
      <w:r>
        <w:rPr>
          <w:sz w:val="20"/>
        </w:rPr>
        <w:t xml:space="preserve">разработка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w:t>
      </w:r>
    </w:p>
    <w:p>
      <w:pPr>
        <w:pStyle w:val="0"/>
        <w:spacing w:before="200" w:line-rule="auto"/>
        <w:ind w:firstLine="540"/>
        <w:jc w:val="both"/>
      </w:pPr>
      <w:r>
        <w:rPr>
          <w:sz w:val="20"/>
        </w:rPr>
        <w:t xml:space="preserve">разработка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туристам, участникам и гостям мероприятий, проводимых на территории Ленинградской области, регионов Российской Федерации и за рубежом;</w:t>
      </w:r>
    </w:p>
    <w:p>
      <w:pPr>
        <w:pStyle w:val="0"/>
        <w:jc w:val="both"/>
      </w:pPr>
      <w:r>
        <w:rPr>
          <w:sz w:val="20"/>
        </w:rPr>
        <w:t xml:space="preserve">(в ред. </w:t>
      </w:r>
      <w:hyperlink w:history="0" r:id="rId64"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27.03.2023 N 197)</w:t>
      </w:r>
    </w:p>
    <w:p>
      <w:pPr>
        <w:pStyle w:val="0"/>
        <w:spacing w:before="200" w:line-rule="auto"/>
        <w:ind w:firstLine="540"/>
        <w:jc w:val="both"/>
      </w:pPr>
      <w:r>
        <w:rPr>
          <w:sz w:val="20"/>
        </w:rPr>
        <w:t xml:space="preserve">проведение конгрессно-выставочных мероприятий, обеспечение участия Ленинградской области в конгрессно-выставочных мероприятиях на российском и международном туристских рынках;</w:t>
      </w:r>
    </w:p>
    <w:p>
      <w:pPr>
        <w:pStyle w:val="0"/>
        <w:spacing w:before="200" w:line-rule="auto"/>
        <w:ind w:firstLine="540"/>
        <w:jc w:val="both"/>
      </w:pPr>
      <w:r>
        <w:rPr>
          <w:sz w:val="20"/>
        </w:rPr>
        <w:t xml:space="preserve">проведение инфотуров, пресс-туров;</w:t>
      </w:r>
    </w:p>
    <w:p>
      <w:pPr>
        <w:pStyle w:val="0"/>
        <w:spacing w:before="200" w:line-rule="auto"/>
        <w:ind w:firstLine="540"/>
        <w:jc w:val="both"/>
      </w:pPr>
      <w:r>
        <w:rPr>
          <w:sz w:val="20"/>
        </w:rPr>
        <w:t xml:space="preserve">проведение событийных и специализированных мероприятий (праздники, фестивали, туристские походы и слеты) по продвижению туристского потенциала Ленинградской области, направленных на привлечение туристов в Ленинградскую область;</w:t>
      </w:r>
    </w:p>
    <w:p>
      <w:pPr>
        <w:pStyle w:val="0"/>
        <w:spacing w:before="200" w:line-rule="auto"/>
        <w:ind w:firstLine="540"/>
        <w:jc w:val="both"/>
      </w:pPr>
      <w:r>
        <w:rPr>
          <w:sz w:val="20"/>
        </w:rPr>
        <w:t xml:space="preserve">проведение деловых мероприятий, конференций, форумов, презентаций, сессий, круглых столов и др., направленных на развитие и продвижение туристского потенциала Ленинградской области;</w:t>
      </w:r>
    </w:p>
    <w:p>
      <w:pPr>
        <w:pStyle w:val="0"/>
        <w:spacing w:before="200" w:line-rule="auto"/>
        <w:ind w:firstLine="540"/>
        <w:jc w:val="both"/>
      </w:pPr>
      <w:r>
        <w:rPr>
          <w:sz w:val="20"/>
        </w:rPr>
        <w:t xml:space="preserve">модернизация, поддержка и продвижение туристского портала Ленинградской области, расширение представленной информации на иностранных языках. Проведение информационной кампании в социальных сетях, направленной на внутренний, общероссийский и зарубежный рынки.</w:t>
      </w:r>
    </w:p>
    <w:p>
      <w:pPr>
        <w:pStyle w:val="0"/>
        <w:spacing w:before="200" w:line-rule="auto"/>
        <w:ind w:firstLine="540"/>
        <w:jc w:val="both"/>
      </w:pPr>
      <w:r>
        <w:rPr>
          <w:sz w:val="20"/>
        </w:rPr>
        <w:t xml:space="preserve">3.10.3. Продвижение туристского потенциала Ленинградской области:</w:t>
      </w:r>
    </w:p>
    <w:p>
      <w:pPr>
        <w:pStyle w:val="0"/>
        <w:spacing w:before="200" w:line-rule="auto"/>
        <w:ind w:firstLine="540"/>
        <w:jc w:val="both"/>
      </w:pPr>
      <w:r>
        <w:rPr>
          <w:sz w:val="20"/>
        </w:rPr>
        <w:t xml:space="preserve">создание и размещение информационного контента о туристских продуктах и туристских ресурсах Ленинградской области;</w:t>
      </w:r>
    </w:p>
    <w:p>
      <w:pPr>
        <w:pStyle w:val="0"/>
        <w:spacing w:before="200" w:line-rule="auto"/>
        <w:ind w:firstLine="540"/>
        <w:jc w:val="both"/>
      </w:pPr>
      <w:r>
        <w:rPr>
          <w:sz w:val="20"/>
        </w:rPr>
        <w:t xml:space="preserve">размещение информации о туристских ресурсах, о крупных событийных мероприятиях Ленинградской области посредством наружной рекламы;</w:t>
      </w:r>
    </w:p>
    <w:p>
      <w:pPr>
        <w:pStyle w:val="0"/>
        <w:jc w:val="both"/>
      </w:pPr>
      <w:r>
        <w:rPr>
          <w:sz w:val="20"/>
        </w:rPr>
        <w:t xml:space="preserve">(в ред. </w:t>
      </w:r>
      <w:hyperlink w:history="0" r:id="rId65"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27.03.2023 N 197)</w:t>
      </w:r>
    </w:p>
    <w:p>
      <w:pPr>
        <w:pStyle w:val="0"/>
        <w:spacing w:before="200" w:line-rule="auto"/>
        <w:ind w:firstLine="540"/>
        <w:jc w:val="both"/>
      </w:pPr>
      <w:r>
        <w:rPr>
          <w:sz w:val="20"/>
        </w:rPr>
        <w:t xml:space="preserve">размещение публикаций рекламного характера о туристском потенциале туристско-рекреационного кластера в профильных федеральных печатных средствах массовой информации в селе Старая Ладога Волховского района Ленинградской области;</w:t>
      </w:r>
    </w:p>
    <w:p>
      <w:pPr>
        <w:pStyle w:val="0"/>
        <w:spacing w:before="200" w:line-rule="auto"/>
        <w:ind w:firstLine="540"/>
        <w:jc w:val="both"/>
      </w:pPr>
      <w:r>
        <w:rPr>
          <w:sz w:val="20"/>
        </w:rPr>
        <w:t xml:space="preserve">размещение наружной рекламы о туристском потенциале туристско-рекреационного кластера в селе Старая Ладога Волховского района Ленинградской области.</w:t>
      </w:r>
    </w:p>
    <w:p>
      <w:pPr>
        <w:pStyle w:val="0"/>
        <w:spacing w:before="200" w:line-rule="auto"/>
        <w:ind w:firstLine="540"/>
        <w:jc w:val="both"/>
      </w:pPr>
      <w:r>
        <w:rPr>
          <w:sz w:val="20"/>
        </w:rPr>
        <w:t xml:space="preserve">3.10.4. Предоставление субсидий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соответствии с </w:t>
      </w:r>
      <w:hyperlink w:history="0" w:anchor="P1709" w:tooltip="ПОРЯДОК">
        <w:r>
          <w:rPr>
            <w:sz w:val="20"/>
            <w:color w:val="0000ff"/>
          </w:rPr>
          <w:t xml:space="preserve">Порядком</w:t>
        </w:r>
      </w:hyperlink>
      <w:r>
        <w:rPr>
          <w:sz w:val="20"/>
        </w:rP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(приложение 3 к государственной программе).</w:t>
      </w:r>
    </w:p>
    <w:p>
      <w:pPr>
        <w:pStyle w:val="0"/>
        <w:spacing w:before="200" w:line-rule="auto"/>
        <w:ind w:firstLine="540"/>
        <w:jc w:val="both"/>
      </w:pPr>
      <w:r>
        <w:rPr>
          <w:sz w:val="20"/>
        </w:rPr>
        <w:t xml:space="preserve">3.10.5. Разработку методических рекомендаций, направленных на создание условий для развития туризма в Ленинградской области.</w:t>
      </w:r>
    </w:p>
    <w:p>
      <w:pPr>
        <w:pStyle w:val="0"/>
        <w:spacing w:before="200" w:line-rule="auto"/>
        <w:ind w:firstLine="540"/>
        <w:jc w:val="both"/>
      </w:pPr>
      <w:r>
        <w:rPr>
          <w:sz w:val="20"/>
        </w:rPr>
        <w:t xml:space="preserve">3.10.6. Обеспечение деятельности по аттестации экскурсоводов (гидов) и гидов-переводчиков.</w:t>
      </w:r>
    </w:p>
    <w:p>
      <w:pPr>
        <w:pStyle w:val="0"/>
        <w:jc w:val="both"/>
      </w:pPr>
      <w:r>
        <w:rPr>
          <w:sz w:val="20"/>
        </w:rPr>
        <w:t xml:space="preserve">(п. 3.10 в ред. </w:t>
      </w:r>
      <w:hyperlink w:history="0" r:id="rId66"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jc w:val="right"/>
      </w:pPr>
      <w:r>
        <w:rPr>
          <w:sz w:val="20"/>
        </w:rPr>
      </w:r>
    </w:p>
    <w:p>
      <w:pPr>
        <w:pStyle w:val="0"/>
        <w:outlineLvl w:val="2"/>
        <w:jc w:val="right"/>
      </w:pPr>
      <w:r>
        <w:rPr>
          <w:sz w:val="20"/>
        </w:rPr>
        <w:t xml:space="preserve">Таблица 1</w:t>
      </w:r>
    </w:p>
    <w:p>
      <w:pPr>
        <w:pStyle w:val="0"/>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Ленинградской области "Развитие внутреннего и въездного</w:t>
      </w:r>
    </w:p>
    <w:p>
      <w:pPr>
        <w:pStyle w:val="2"/>
        <w:jc w:val="center"/>
      </w:pPr>
      <w:r>
        <w:rPr>
          <w:sz w:val="20"/>
        </w:rPr>
        <w:t xml:space="preserve">туризма в Ленинградской области"</w:t>
      </w:r>
    </w:p>
    <w:p>
      <w:pPr>
        <w:pStyle w:val="0"/>
        <w:jc w:val="center"/>
      </w:pPr>
      <w:r>
        <w:rPr>
          <w:sz w:val="20"/>
        </w:rPr>
        <w:t xml:space="preserve">(в ред. </w:t>
      </w:r>
      <w:hyperlink w:history="0" r:id="rId67" w:tooltip="Постановление Правительства Ленинградской области от 21.06.2023 N 414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21.06.2023 N 414)</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78"/>
        <w:gridCol w:w="1587"/>
        <w:gridCol w:w="1204"/>
        <w:gridCol w:w="1384"/>
        <w:gridCol w:w="1384"/>
        <w:gridCol w:w="850"/>
        <w:gridCol w:w="794"/>
        <w:gridCol w:w="737"/>
        <w:gridCol w:w="737"/>
        <w:gridCol w:w="1219"/>
      </w:tblGrid>
      <w:tr>
        <w:tc>
          <w:tcPr>
            <w:tcW w:w="510" w:type="dxa"/>
            <w:vMerge w:val="restart"/>
          </w:tcPr>
          <w:p>
            <w:pPr>
              <w:pStyle w:val="0"/>
              <w:jc w:val="center"/>
            </w:pPr>
            <w:r>
              <w:rPr>
                <w:sz w:val="20"/>
              </w:rPr>
              <w:t xml:space="preserve">N п/п</w:t>
            </w:r>
          </w:p>
        </w:tc>
        <w:tc>
          <w:tcPr>
            <w:gridSpan w:val="2"/>
            <w:tcW w:w="4365" w:type="dxa"/>
            <w:vMerge w:val="restart"/>
          </w:tcPr>
          <w:p>
            <w:pPr>
              <w:pStyle w:val="0"/>
              <w:jc w:val="center"/>
            </w:pPr>
            <w:r>
              <w:rPr>
                <w:sz w:val="20"/>
              </w:rPr>
              <w:t xml:space="preserve">Наименование показателя (индикатора)</w:t>
            </w:r>
          </w:p>
        </w:tc>
        <w:tc>
          <w:tcPr>
            <w:tcW w:w="1204" w:type="dxa"/>
            <w:vMerge w:val="restart"/>
          </w:tcPr>
          <w:p>
            <w:pPr>
              <w:pStyle w:val="0"/>
              <w:jc w:val="center"/>
            </w:pPr>
            <w:r>
              <w:rPr>
                <w:sz w:val="20"/>
              </w:rPr>
              <w:t xml:space="preserve">Единица измерения</w:t>
            </w:r>
          </w:p>
        </w:tc>
        <w:tc>
          <w:tcPr>
            <w:gridSpan w:val="6"/>
            <w:tcW w:w="5886" w:type="dxa"/>
          </w:tcPr>
          <w:p>
            <w:pPr>
              <w:pStyle w:val="0"/>
              <w:jc w:val="center"/>
            </w:pPr>
            <w:r>
              <w:rPr>
                <w:sz w:val="20"/>
              </w:rPr>
              <w:t xml:space="preserve">Значения показателей (индикаторов)</w:t>
            </w:r>
          </w:p>
        </w:tc>
        <w:tc>
          <w:tcPr>
            <w:tcW w:w="1219" w:type="dxa"/>
            <w:vMerge w:val="restart"/>
          </w:tcPr>
          <w:p>
            <w:pPr>
              <w:pStyle w:val="0"/>
              <w:jc w:val="center"/>
            </w:pPr>
            <w:r>
              <w:rPr>
                <w:sz w:val="20"/>
              </w:rPr>
              <w:t xml:space="preserve">Удельный вес показателя</w:t>
            </w:r>
          </w:p>
        </w:tc>
      </w:tr>
      <w:tr>
        <w:tc>
          <w:tcPr>
            <w:vMerge w:val="continue"/>
          </w:tcPr>
          <w:p/>
        </w:tc>
        <w:tc>
          <w:tcPr>
            <w:gridSpan w:val="2"/>
            <w:vMerge w:val="continue"/>
          </w:tcPr>
          <w:p/>
        </w:tc>
        <w:tc>
          <w:tcPr>
            <w:vMerge w:val="continue"/>
          </w:tcPr>
          <w:p/>
        </w:tc>
        <w:tc>
          <w:tcPr>
            <w:tcW w:w="1384" w:type="dxa"/>
          </w:tcPr>
          <w:p>
            <w:pPr>
              <w:pStyle w:val="0"/>
              <w:jc w:val="center"/>
            </w:pPr>
            <w:r>
              <w:rPr>
                <w:sz w:val="20"/>
              </w:rPr>
              <w:t xml:space="preserve">2020 год (базовый период)</w:t>
            </w:r>
          </w:p>
        </w:tc>
        <w:tc>
          <w:tcPr>
            <w:tcW w:w="1384" w:type="dxa"/>
          </w:tcPr>
          <w:p>
            <w:pPr>
              <w:pStyle w:val="0"/>
              <w:jc w:val="center"/>
            </w:pPr>
            <w:r>
              <w:rPr>
                <w:sz w:val="20"/>
              </w:rPr>
              <w:t xml:space="preserve">2021 год (базовый период)</w:t>
            </w:r>
          </w:p>
        </w:tc>
        <w:tc>
          <w:tcPr>
            <w:tcW w:w="850"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vMerge w:val="continue"/>
          </w:tcPr>
          <w:p/>
        </w:tc>
      </w:tr>
      <w:tr>
        <w:tc>
          <w:tcPr>
            <w:tcW w:w="510" w:type="dxa"/>
          </w:tcPr>
          <w:p>
            <w:pPr>
              <w:pStyle w:val="0"/>
              <w:jc w:val="center"/>
            </w:pPr>
            <w:r>
              <w:rPr>
                <w:sz w:val="20"/>
              </w:rPr>
              <w:t xml:space="preserve">1</w:t>
            </w:r>
          </w:p>
        </w:tc>
        <w:tc>
          <w:tcPr>
            <w:gridSpan w:val="2"/>
            <w:tcW w:w="4365" w:type="dxa"/>
          </w:tcPr>
          <w:p>
            <w:pPr>
              <w:pStyle w:val="0"/>
              <w:jc w:val="center"/>
            </w:pPr>
            <w:r>
              <w:rPr>
                <w:sz w:val="20"/>
              </w:rPr>
              <w:t xml:space="preserve">2</w:t>
            </w:r>
          </w:p>
        </w:tc>
        <w:tc>
          <w:tcPr>
            <w:tcW w:w="1204" w:type="dxa"/>
          </w:tcPr>
          <w:p>
            <w:pPr>
              <w:pStyle w:val="0"/>
              <w:jc w:val="center"/>
            </w:pPr>
            <w:r>
              <w:rPr>
                <w:sz w:val="20"/>
              </w:rPr>
              <w:t xml:space="preserve">3</w:t>
            </w:r>
          </w:p>
        </w:tc>
        <w:tc>
          <w:tcPr>
            <w:tcW w:w="1384" w:type="dxa"/>
          </w:tcPr>
          <w:p>
            <w:pPr>
              <w:pStyle w:val="0"/>
              <w:jc w:val="center"/>
            </w:pPr>
            <w:r>
              <w:rPr>
                <w:sz w:val="20"/>
              </w:rPr>
              <w:t xml:space="preserve">4</w:t>
            </w:r>
          </w:p>
        </w:tc>
        <w:tc>
          <w:tcPr>
            <w:tcW w:w="1384" w:type="dxa"/>
          </w:tcPr>
          <w:p>
            <w:pPr>
              <w:pStyle w:val="0"/>
              <w:jc w:val="center"/>
            </w:pPr>
            <w:r>
              <w:rPr>
                <w:sz w:val="20"/>
              </w:rPr>
              <w:t xml:space="preserve">5</w:t>
            </w:r>
          </w:p>
        </w:tc>
        <w:tc>
          <w:tcPr>
            <w:tcW w:w="850" w:type="dxa"/>
          </w:tcPr>
          <w:p>
            <w:pPr>
              <w:pStyle w:val="0"/>
              <w:jc w:val="center"/>
            </w:pPr>
            <w:r>
              <w:rPr>
                <w:sz w:val="20"/>
              </w:rPr>
              <w:t xml:space="preserve">6</w:t>
            </w:r>
          </w:p>
        </w:tc>
        <w:tc>
          <w:tcPr>
            <w:tcW w:w="794"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1219" w:type="dxa"/>
          </w:tcPr>
          <w:p>
            <w:pPr>
              <w:pStyle w:val="0"/>
              <w:jc w:val="center"/>
            </w:pPr>
            <w:r>
              <w:rPr>
                <w:sz w:val="20"/>
              </w:rPr>
              <w:t xml:space="preserve">10</w:t>
            </w:r>
          </w:p>
        </w:tc>
      </w:tr>
      <w:tr>
        <w:tc>
          <w:tcPr>
            <w:tcW w:w="510" w:type="dxa"/>
            <w:vMerge w:val="restart"/>
          </w:tcPr>
          <w:p>
            <w:pPr>
              <w:pStyle w:val="0"/>
              <w:jc w:val="center"/>
            </w:pPr>
            <w:r>
              <w:rPr>
                <w:sz w:val="20"/>
              </w:rPr>
              <w:t xml:space="preserve">1</w:t>
            </w:r>
          </w:p>
        </w:tc>
        <w:tc>
          <w:tcPr>
            <w:tcW w:w="2778" w:type="dxa"/>
            <w:vMerge w:val="restart"/>
          </w:tcPr>
          <w:p>
            <w:pPr>
              <w:pStyle w:val="0"/>
            </w:pPr>
            <w:r>
              <w:rPr>
                <w:sz w:val="20"/>
              </w:rPr>
              <w:t xml:space="preserve">Объем платных услуг, оказанных населению в сфере внутреннего и въездного туризма</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млн руб.</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2807</w:t>
            </w:r>
          </w:p>
        </w:tc>
        <w:tc>
          <w:tcPr>
            <w:tcW w:w="794" w:type="dxa"/>
          </w:tcPr>
          <w:p>
            <w:pPr>
              <w:pStyle w:val="0"/>
              <w:jc w:val="center"/>
            </w:pPr>
            <w:r>
              <w:rPr>
                <w:sz w:val="20"/>
              </w:rPr>
              <w:t xml:space="preserve">2947</w:t>
            </w:r>
          </w:p>
        </w:tc>
        <w:tc>
          <w:tcPr>
            <w:tcW w:w="737" w:type="dxa"/>
          </w:tcPr>
          <w:p>
            <w:pPr>
              <w:pStyle w:val="0"/>
              <w:jc w:val="center"/>
            </w:pPr>
            <w:r>
              <w:rPr>
                <w:sz w:val="20"/>
              </w:rPr>
              <w:t xml:space="preserve">3094</w:t>
            </w:r>
          </w:p>
        </w:tc>
        <w:tc>
          <w:tcPr>
            <w:tcW w:w="737" w:type="dxa"/>
          </w:tcPr>
          <w:p>
            <w:pPr>
              <w:pStyle w:val="0"/>
              <w:jc w:val="center"/>
            </w:pPr>
            <w:r>
              <w:rPr>
                <w:sz w:val="20"/>
              </w:rPr>
              <w:t xml:space="preserve">3263</w:t>
            </w:r>
          </w:p>
        </w:tc>
        <w:tc>
          <w:tcPr>
            <w:tcW w:w="1219" w:type="dxa"/>
            <w:vMerge w:val="restart"/>
          </w:tcPr>
          <w:p>
            <w:pPr>
              <w:pStyle w:val="0"/>
              <w:jc w:val="center"/>
            </w:pPr>
            <w:r>
              <w:rPr>
                <w:sz w:val="20"/>
              </w:rPr>
              <w:t xml:space="preserve">0,05</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1950</w:t>
            </w:r>
          </w:p>
        </w:tc>
        <w:tc>
          <w:tcPr>
            <w:tcW w:w="1384" w:type="dxa"/>
          </w:tcPr>
          <w:p>
            <w:pPr>
              <w:pStyle w:val="0"/>
              <w:jc w:val="center"/>
            </w:pPr>
            <w:r>
              <w:rPr>
                <w:sz w:val="20"/>
              </w:rPr>
              <w:t xml:space="preserve">2641</w:t>
            </w:r>
          </w:p>
        </w:tc>
        <w:tc>
          <w:tcPr>
            <w:tcW w:w="850" w:type="dxa"/>
          </w:tcPr>
          <w:p>
            <w:pPr>
              <w:pStyle w:val="0"/>
              <w:jc w:val="center"/>
            </w:pPr>
            <w:r>
              <w:rPr>
                <w:sz w:val="20"/>
              </w:rPr>
              <w:t xml:space="preserve">4795</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2</w:t>
            </w:r>
          </w:p>
        </w:tc>
        <w:tc>
          <w:tcPr>
            <w:tcW w:w="2778" w:type="dxa"/>
            <w:vMerge w:val="restart"/>
          </w:tcPr>
          <w:p>
            <w:pPr>
              <w:pStyle w:val="0"/>
            </w:pPr>
            <w:r>
              <w:rPr>
                <w:sz w:val="20"/>
              </w:rPr>
              <w:t xml:space="preserve">Количество экскурсантов, посетивших регион</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тыс. чел.</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3929</w:t>
            </w:r>
          </w:p>
        </w:tc>
        <w:tc>
          <w:tcPr>
            <w:tcW w:w="794" w:type="dxa"/>
          </w:tcPr>
          <w:p>
            <w:pPr>
              <w:pStyle w:val="0"/>
              <w:jc w:val="center"/>
            </w:pPr>
            <w:r>
              <w:rPr>
                <w:sz w:val="20"/>
              </w:rPr>
              <w:t xml:space="preserve">4093</w:t>
            </w:r>
          </w:p>
        </w:tc>
        <w:tc>
          <w:tcPr>
            <w:tcW w:w="737" w:type="dxa"/>
          </w:tcPr>
          <w:p>
            <w:pPr>
              <w:pStyle w:val="0"/>
              <w:jc w:val="center"/>
            </w:pPr>
            <w:r>
              <w:rPr>
                <w:sz w:val="20"/>
              </w:rPr>
              <w:t xml:space="preserve">4260</w:t>
            </w:r>
          </w:p>
        </w:tc>
        <w:tc>
          <w:tcPr>
            <w:tcW w:w="737" w:type="dxa"/>
          </w:tcPr>
          <w:p>
            <w:pPr>
              <w:pStyle w:val="0"/>
              <w:jc w:val="center"/>
            </w:pPr>
            <w:r>
              <w:rPr>
                <w:sz w:val="20"/>
              </w:rPr>
              <w:t xml:space="preserve">4424</w:t>
            </w:r>
          </w:p>
        </w:tc>
        <w:tc>
          <w:tcPr>
            <w:tcW w:w="1219" w:type="dxa"/>
            <w:vMerge w:val="restart"/>
          </w:tcPr>
          <w:p>
            <w:pPr>
              <w:pStyle w:val="0"/>
              <w:jc w:val="center"/>
            </w:pPr>
            <w:r>
              <w:rPr>
                <w:sz w:val="20"/>
              </w:rPr>
              <w:t xml:space="preserve">0,05</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3227</w:t>
            </w:r>
          </w:p>
        </w:tc>
        <w:tc>
          <w:tcPr>
            <w:tcW w:w="1384" w:type="dxa"/>
          </w:tcPr>
          <w:p>
            <w:pPr>
              <w:pStyle w:val="0"/>
              <w:jc w:val="center"/>
            </w:pPr>
            <w:r>
              <w:rPr>
                <w:sz w:val="20"/>
              </w:rPr>
              <w:t xml:space="preserve">3245,7</w:t>
            </w:r>
          </w:p>
        </w:tc>
        <w:tc>
          <w:tcPr>
            <w:tcW w:w="850" w:type="dxa"/>
          </w:tcPr>
          <w:p>
            <w:pPr>
              <w:pStyle w:val="0"/>
              <w:jc w:val="center"/>
            </w:pPr>
            <w:r>
              <w:rPr>
                <w:sz w:val="20"/>
              </w:rPr>
              <w:t xml:space="preserve">4153,6</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3</w:t>
            </w:r>
          </w:p>
        </w:tc>
        <w:tc>
          <w:tcPr>
            <w:tcW w:w="2778" w:type="dxa"/>
            <w:vMerge w:val="restart"/>
          </w:tcPr>
          <w:p>
            <w:pPr>
              <w:pStyle w:val="0"/>
            </w:pPr>
            <w:r>
              <w:rPr>
                <w:sz w:val="20"/>
              </w:rPr>
              <w:t xml:space="preserve">Количество иностранных туристов</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тыс. чел.</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397</w:t>
            </w:r>
          </w:p>
        </w:tc>
        <w:tc>
          <w:tcPr>
            <w:tcW w:w="794" w:type="dxa"/>
          </w:tcPr>
          <w:p>
            <w:pPr>
              <w:pStyle w:val="0"/>
              <w:jc w:val="center"/>
            </w:pPr>
            <w:r>
              <w:rPr>
                <w:sz w:val="20"/>
              </w:rPr>
              <w:t xml:space="preserve">401</w:t>
            </w:r>
          </w:p>
        </w:tc>
        <w:tc>
          <w:tcPr>
            <w:tcW w:w="737" w:type="dxa"/>
          </w:tcPr>
          <w:p>
            <w:pPr>
              <w:pStyle w:val="0"/>
              <w:jc w:val="center"/>
            </w:pPr>
            <w:r>
              <w:rPr>
                <w:sz w:val="20"/>
              </w:rPr>
              <w:t xml:space="preserve">405</w:t>
            </w:r>
          </w:p>
        </w:tc>
        <w:tc>
          <w:tcPr>
            <w:tcW w:w="737" w:type="dxa"/>
          </w:tcPr>
          <w:p>
            <w:pPr>
              <w:pStyle w:val="0"/>
              <w:jc w:val="center"/>
            </w:pPr>
            <w:r>
              <w:rPr>
                <w:sz w:val="20"/>
              </w:rPr>
              <w:t xml:space="preserve">410</w:t>
            </w:r>
          </w:p>
        </w:tc>
        <w:tc>
          <w:tcPr>
            <w:tcW w:w="1219" w:type="dxa"/>
            <w:vMerge w:val="restart"/>
          </w:tcPr>
          <w:p>
            <w:pPr>
              <w:pStyle w:val="0"/>
              <w:jc w:val="center"/>
            </w:pPr>
            <w:r>
              <w:rPr>
                <w:sz w:val="20"/>
              </w:rPr>
              <w:t xml:space="preserve">0,05</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108</w:t>
            </w:r>
          </w:p>
        </w:tc>
        <w:tc>
          <w:tcPr>
            <w:tcW w:w="1384" w:type="dxa"/>
          </w:tcPr>
          <w:p>
            <w:pPr>
              <w:pStyle w:val="0"/>
              <w:jc w:val="center"/>
            </w:pPr>
            <w:r>
              <w:rPr>
                <w:sz w:val="20"/>
              </w:rPr>
              <w:t xml:space="preserve">222,7</w:t>
            </w:r>
          </w:p>
        </w:tc>
        <w:tc>
          <w:tcPr>
            <w:tcW w:w="850" w:type="dxa"/>
          </w:tcPr>
          <w:p>
            <w:pPr>
              <w:pStyle w:val="0"/>
              <w:jc w:val="center"/>
            </w:pPr>
            <w:r>
              <w:rPr>
                <w:sz w:val="20"/>
              </w:rPr>
              <w:t xml:space="preserve">82,2</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4</w:t>
            </w:r>
          </w:p>
        </w:tc>
        <w:tc>
          <w:tcPr>
            <w:tcW w:w="2778" w:type="dxa"/>
            <w:vMerge w:val="restart"/>
          </w:tcPr>
          <w:p>
            <w:pPr>
              <w:pStyle w:val="0"/>
            </w:pPr>
            <w:r>
              <w:rPr>
                <w:sz w:val="20"/>
              </w:rPr>
              <w:t xml:space="preserve">Прирост числа занятых в коллективных средствах размещения и турфирмах в среднем за период</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проц.</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2,80</w:t>
            </w:r>
          </w:p>
        </w:tc>
        <w:tc>
          <w:tcPr>
            <w:tcW w:w="794" w:type="dxa"/>
          </w:tcPr>
          <w:p>
            <w:pPr>
              <w:pStyle w:val="0"/>
              <w:jc w:val="center"/>
            </w:pPr>
            <w:r>
              <w:rPr>
                <w:sz w:val="20"/>
              </w:rPr>
              <w:t xml:space="preserve">2,85</w:t>
            </w:r>
          </w:p>
        </w:tc>
        <w:tc>
          <w:tcPr>
            <w:tcW w:w="737" w:type="dxa"/>
          </w:tcPr>
          <w:p>
            <w:pPr>
              <w:pStyle w:val="0"/>
              <w:jc w:val="center"/>
            </w:pPr>
            <w:r>
              <w:rPr>
                <w:sz w:val="20"/>
              </w:rPr>
              <w:t xml:space="preserve">2,9</w:t>
            </w:r>
          </w:p>
        </w:tc>
        <w:tc>
          <w:tcPr>
            <w:tcW w:w="737" w:type="dxa"/>
          </w:tcPr>
          <w:p>
            <w:pPr>
              <w:pStyle w:val="0"/>
              <w:jc w:val="center"/>
            </w:pPr>
            <w:r>
              <w:rPr>
                <w:sz w:val="20"/>
              </w:rPr>
              <w:t xml:space="preserve">2,95</w:t>
            </w:r>
          </w:p>
        </w:tc>
        <w:tc>
          <w:tcPr>
            <w:tcW w:w="1219" w:type="dxa"/>
            <w:vMerge w:val="restart"/>
          </w:tcPr>
          <w:p>
            <w:pPr>
              <w:pStyle w:val="0"/>
              <w:jc w:val="center"/>
            </w:pPr>
            <w:r>
              <w:rPr>
                <w:sz w:val="20"/>
              </w:rPr>
              <w:t xml:space="preserve">0,1</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2,75</w:t>
            </w:r>
          </w:p>
        </w:tc>
        <w:tc>
          <w:tcPr>
            <w:tcW w:w="1384" w:type="dxa"/>
          </w:tcPr>
          <w:p>
            <w:pPr>
              <w:pStyle w:val="0"/>
              <w:jc w:val="center"/>
            </w:pPr>
            <w:r>
              <w:rPr>
                <w:sz w:val="20"/>
              </w:rPr>
              <w:t xml:space="preserve">2,75</w:t>
            </w:r>
          </w:p>
        </w:tc>
        <w:tc>
          <w:tcPr>
            <w:tcW w:w="850" w:type="dxa"/>
          </w:tcPr>
          <w:p>
            <w:pPr>
              <w:pStyle w:val="0"/>
              <w:jc w:val="center"/>
            </w:pPr>
            <w:r>
              <w:rPr>
                <w:sz w:val="20"/>
              </w:rPr>
              <w:t xml:space="preserve">2,80</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5</w:t>
            </w:r>
          </w:p>
        </w:tc>
        <w:tc>
          <w:tcPr>
            <w:tcW w:w="2778" w:type="dxa"/>
            <w:vMerge w:val="restart"/>
          </w:tcPr>
          <w:p>
            <w:pPr>
              <w:pStyle w:val="0"/>
            </w:pPr>
            <w:r>
              <w:rPr>
                <w:sz w:val="20"/>
              </w:rPr>
              <w:t xml:space="preserve">Количество лиц, размещенных в коллективных средствах размещения</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тыс. чел.</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2058</w:t>
            </w:r>
          </w:p>
        </w:tc>
        <w:tc>
          <w:tcPr>
            <w:tcW w:w="794" w:type="dxa"/>
          </w:tcPr>
          <w:p>
            <w:pPr>
              <w:pStyle w:val="0"/>
              <w:jc w:val="center"/>
            </w:pPr>
            <w:r>
              <w:rPr>
                <w:sz w:val="20"/>
              </w:rPr>
              <w:t xml:space="preserve">2164</w:t>
            </w:r>
          </w:p>
        </w:tc>
        <w:tc>
          <w:tcPr>
            <w:tcW w:w="737" w:type="dxa"/>
          </w:tcPr>
          <w:p>
            <w:pPr>
              <w:pStyle w:val="0"/>
              <w:jc w:val="center"/>
            </w:pPr>
            <w:r>
              <w:rPr>
                <w:sz w:val="20"/>
              </w:rPr>
              <w:t xml:space="preserve">2270</w:t>
            </w:r>
          </w:p>
        </w:tc>
        <w:tc>
          <w:tcPr>
            <w:tcW w:w="737" w:type="dxa"/>
          </w:tcPr>
          <w:p>
            <w:pPr>
              <w:pStyle w:val="0"/>
              <w:jc w:val="center"/>
            </w:pPr>
            <w:r>
              <w:rPr>
                <w:sz w:val="20"/>
              </w:rPr>
              <w:t xml:space="preserve">2376</w:t>
            </w:r>
          </w:p>
        </w:tc>
        <w:tc>
          <w:tcPr>
            <w:tcW w:w="1219" w:type="dxa"/>
            <w:vMerge w:val="restart"/>
          </w:tcPr>
          <w:p>
            <w:pPr>
              <w:pStyle w:val="0"/>
              <w:jc w:val="center"/>
            </w:pPr>
            <w:r>
              <w:rPr>
                <w:sz w:val="20"/>
              </w:rPr>
              <w:t xml:space="preserve">0,05</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1532</w:t>
            </w:r>
          </w:p>
        </w:tc>
        <w:tc>
          <w:tcPr>
            <w:tcW w:w="1384" w:type="dxa"/>
          </w:tcPr>
          <w:p>
            <w:pPr>
              <w:pStyle w:val="0"/>
              <w:jc w:val="center"/>
            </w:pPr>
            <w:r>
              <w:rPr>
                <w:sz w:val="20"/>
              </w:rPr>
              <w:t xml:space="preserve">1286,1</w:t>
            </w:r>
          </w:p>
        </w:tc>
        <w:tc>
          <w:tcPr>
            <w:tcW w:w="850" w:type="dxa"/>
          </w:tcPr>
          <w:p>
            <w:pPr>
              <w:pStyle w:val="0"/>
              <w:jc w:val="center"/>
            </w:pPr>
            <w:r>
              <w:rPr>
                <w:sz w:val="20"/>
              </w:rPr>
              <w:t xml:space="preserve">1808,8</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6</w:t>
            </w:r>
          </w:p>
        </w:tc>
        <w:tc>
          <w:tcPr>
            <w:tcW w:w="2778" w:type="dxa"/>
            <w:vMerge w:val="restart"/>
          </w:tcPr>
          <w:p>
            <w:pPr>
              <w:pStyle w:val="0"/>
            </w:pPr>
            <w:r>
              <w:rPr>
                <w:sz w:val="20"/>
              </w:rPr>
              <w:t xml:space="preserve">Прирост объема налоговых поступлений в бюджет Ленинградской области от туристической отрасли по отношению к предыдущему году</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проц.</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6,7</w:t>
            </w:r>
          </w:p>
        </w:tc>
        <w:tc>
          <w:tcPr>
            <w:tcW w:w="794" w:type="dxa"/>
          </w:tcPr>
          <w:p>
            <w:pPr>
              <w:pStyle w:val="0"/>
              <w:jc w:val="center"/>
            </w:pPr>
            <w:r>
              <w:rPr>
                <w:sz w:val="20"/>
              </w:rPr>
              <w:t xml:space="preserve">6,7</w:t>
            </w:r>
          </w:p>
        </w:tc>
        <w:tc>
          <w:tcPr>
            <w:tcW w:w="737" w:type="dxa"/>
          </w:tcPr>
          <w:p>
            <w:pPr>
              <w:pStyle w:val="0"/>
              <w:jc w:val="center"/>
            </w:pPr>
            <w:r>
              <w:rPr>
                <w:sz w:val="20"/>
              </w:rPr>
              <w:t xml:space="preserve">6,8</w:t>
            </w:r>
          </w:p>
        </w:tc>
        <w:tc>
          <w:tcPr>
            <w:tcW w:w="737" w:type="dxa"/>
          </w:tcPr>
          <w:p>
            <w:pPr>
              <w:pStyle w:val="0"/>
              <w:jc w:val="center"/>
            </w:pPr>
            <w:r>
              <w:rPr>
                <w:sz w:val="20"/>
              </w:rPr>
              <w:t xml:space="preserve">6,8</w:t>
            </w:r>
          </w:p>
        </w:tc>
        <w:tc>
          <w:tcPr>
            <w:tcW w:w="1219" w:type="dxa"/>
            <w:vMerge w:val="restart"/>
          </w:tcPr>
          <w:p>
            <w:pPr>
              <w:pStyle w:val="0"/>
              <w:jc w:val="center"/>
            </w:pPr>
            <w:r>
              <w:rPr>
                <w:sz w:val="20"/>
              </w:rPr>
              <w:t xml:space="preserve">0,05</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Сокращение на 8</w:t>
            </w:r>
          </w:p>
        </w:tc>
        <w:tc>
          <w:tcPr>
            <w:tcW w:w="1384" w:type="dxa"/>
          </w:tcPr>
          <w:p>
            <w:pPr>
              <w:pStyle w:val="0"/>
              <w:jc w:val="center"/>
            </w:pPr>
            <w:r>
              <w:rPr>
                <w:sz w:val="20"/>
              </w:rPr>
              <w:t xml:space="preserve">Сокращение на 67,5</w:t>
            </w:r>
          </w:p>
        </w:tc>
        <w:tc>
          <w:tcPr>
            <w:tcW w:w="850" w:type="dxa"/>
          </w:tcPr>
          <w:p>
            <w:pPr>
              <w:pStyle w:val="0"/>
              <w:jc w:val="center"/>
            </w:pPr>
            <w:r>
              <w:rPr>
                <w:sz w:val="20"/>
              </w:rPr>
              <w:t xml:space="preserve">25</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7</w:t>
            </w:r>
          </w:p>
        </w:tc>
        <w:tc>
          <w:tcPr>
            <w:tcW w:w="2778" w:type="dxa"/>
            <w:vMerge w:val="restart"/>
          </w:tcPr>
          <w:p>
            <w:pPr>
              <w:pStyle w:val="0"/>
            </w:pPr>
            <w:r>
              <w:rPr>
                <w:sz w:val="20"/>
              </w:rPr>
              <w:t xml:space="preserve">Общий туристский поток Ленинградской области</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тыс. чел.</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5987</w:t>
            </w:r>
          </w:p>
        </w:tc>
        <w:tc>
          <w:tcPr>
            <w:tcW w:w="794" w:type="dxa"/>
          </w:tcPr>
          <w:p>
            <w:pPr>
              <w:pStyle w:val="0"/>
              <w:jc w:val="center"/>
            </w:pPr>
            <w:r>
              <w:rPr>
                <w:sz w:val="20"/>
              </w:rPr>
              <w:t xml:space="preserve">6257</w:t>
            </w:r>
          </w:p>
        </w:tc>
        <w:tc>
          <w:tcPr>
            <w:tcW w:w="737" w:type="dxa"/>
          </w:tcPr>
          <w:p>
            <w:pPr>
              <w:pStyle w:val="0"/>
              <w:jc w:val="center"/>
            </w:pPr>
            <w:r>
              <w:rPr>
                <w:sz w:val="20"/>
              </w:rPr>
              <w:t xml:space="preserve">6530</w:t>
            </w:r>
          </w:p>
        </w:tc>
        <w:tc>
          <w:tcPr>
            <w:tcW w:w="737" w:type="dxa"/>
          </w:tcPr>
          <w:p>
            <w:pPr>
              <w:pStyle w:val="0"/>
              <w:jc w:val="center"/>
            </w:pPr>
            <w:r>
              <w:rPr>
                <w:sz w:val="20"/>
              </w:rPr>
              <w:t xml:space="preserve">6800</w:t>
            </w:r>
          </w:p>
        </w:tc>
        <w:tc>
          <w:tcPr>
            <w:tcW w:w="1219" w:type="dxa"/>
            <w:vMerge w:val="restart"/>
          </w:tcPr>
          <w:p>
            <w:pPr>
              <w:pStyle w:val="0"/>
              <w:jc w:val="center"/>
            </w:pPr>
            <w:r>
              <w:rPr>
                <w:sz w:val="20"/>
              </w:rPr>
              <w:t xml:space="preserve">0,15</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4760</w:t>
            </w:r>
          </w:p>
        </w:tc>
        <w:tc>
          <w:tcPr>
            <w:tcW w:w="1384" w:type="dxa"/>
          </w:tcPr>
          <w:p>
            <w:pPr>
              <w:pStyle w:val="0"/>
              <w:jc w:val="center"/>
            </w:pPr>
            <w:r>
              <w:rPr>
                <w:sz w:val="20"/>
              </w:rPr>
              <w:t xml:space="preserve">4907,6</w:t>
            </w:r>
          </w:p>
        </w:tc>
        <w:tc>
          <w:tcPr>
            <w:tcW w:w="850" w:type="dxa"/>
          </w:tcPr>
          <w:p>
            <w:pPr>
              <w:pStyle w:val="0"/>
              <w:jc w:val="center"/>
            </w:pPr>
            <w:r>
              <w:rPr>
                <w:sz w:val="20"/>
              </w:rPr>
              <w:t xml:space="preserve">6019</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8</w:t>
            </w:r>
          </w:p>
        </w:tc>
        <w:tc>
          <w:tcPr>
            <w:tcW w:w="2778" w:type="dxa"/>
            <w:vMerge w:val="restart"/>
          </w:tcPr>
          <w:p>
            <w:pPr>
              <w:pStyle w:val="0"/>
            </w:pPr>
            <w:r>
              <w:rPr>
                <w:sz w:val="20"/>
              </w:rPr>
              <w:t xml:space="preserve">Число межрегиональных и международных туристских проектов, в которых регион принимает участие</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ед.</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5</w:t>
            </w:r>
          </w:p>
        </w:tc>
        <w:tc>
          <w:tcPr>
            <w:tcW w:w="794"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1219" w:type="dxa"/>
            <w:vMerge w:val="restart"/>
          </w:tcPr>
          <w:p>
            <w:pPr>
              <w:pStyle w:val="0"/>
              <w:jc w:val="center"/>
            </w:pPr>
            <w:r>
              <w:rPr>
                <w:sz w:val="20"/>
              </w:rPr>
              <w:t xml:space="preserve">0,05</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9</w:t>
            </w:r>
          </w:p>
        </w:tc>
        <w:tc>
          <w:tcPr>
            <w:tcW w:w="1384" w:type="dxa"/>
          </w:tcPr>
          <w:p>
            <w:pPr>
              <w:pStyle w:val="0"/>
              <w:jc w:val="center"/>
            </w:pPr>
            <w:r>
              <w:rPr>
                <w:sz w:val="20"/>
              </w:rPr>
              <w:t xml:space="preserve">9</w:t>
            </w:r>
          </w:p>
        </w:tc>
        <w:tc>
          <w:tcPr>
            <w:tcW w:w="850" w:type="dxa"/>
          </w:tcPr>
          <w:p>
            <w:pPr>
              <w:pStyle w:val="0"/>
              <w:jc w:val="center"/>
            </w:pPr>
            <w:r>
              <w:rPr>
                <w:sz w:val="20"/>
              </w:rPr>
              <w:t xml:space="preserve">5</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9</w:t>
            </w:r>
          </w:p>
        </w:tc>
        <w:tc>
          <w:tcPr>
            <w:tcW w:w="2778" w:type="dxa"/>
            <w:vMerge w:val="restart"/>
          </w:tcPr>
          <w:p>
            <w:pPr>
              <w:pStyle w:val="0"/>
            </w:pPr>
            <w:r>
              <w:rPr>
                <w:sz w:val="20"/>
              </w:rPr>
              <w:t xml:space="preserve">Количество новых туристских маршрутов</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ед.</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5</w:t>
            </w:r>
          </w:p>
        </w:tc>
        <w:tc>
          <w:tcPr>
            <w:tcW w:w="794"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1219" w:type="dxa"/>
            <w:vMerge w:val="restart"/>
          </w:tcPr>
          <w:p>
            <w:pPr>
              <w:pStyle w:val="0"/>
              <w:jc w:val="center"/>
            </w:pPr>
            <w:r>
              <w:rPr>
                <w:sz w:val="20"/>
              </w:rPr>
              <w:t xml:space="preserve">0,05</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5</w:t>
            </w:r>
          </w:p>
        </w:tc>
        <w:tc>
          <w:tcPr>
            <w:tcW w:w="1384" w:type="dxa"/>
          </w:tcPr>
          <w:p>
            <w:pPr>
              <w:pStyle w:val="0"/>
              <w:jc w:val="center"/>
            </w:pPr>
            <w:r>
              <w:rPr>
                <w:sz w:val="20"/>
              </w:rPr>
              <w:t xml:space="preserve">5</w:t>
            </w:r>
          </w:p>
        </w:tc>
        <w:tc>
          <w:tcPr>
            <w:tcW w:w="850" w:type="dxa"/>
          </w:tcPr>
          <w:p>
            <w:pPr>
              <w:pStyle w:val="0"/>
              <w:jc w:val="center"/>
            </w:pPr>
            <w:r>
              <w:rPr>
                <w:sz w:val="20"/>
              </w:rPr>
              <w:t xml:space="preserve">5</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10</w:t>
            </w:r>
          </w:p>
        </w:tc>
        <w:tc>
          <w:tcPr>
            <w:tcW w:w="2778" w:type="dxa"/>
            <w:vMerge w:val="restart"/>
          </w:tcPr>
          <w:p>
            <w:pPr>
              <w:pStyle w:val="0"/>
            </w:pPr>
            <w:r>
              <w:rPr>
                <w:sz w:val="20"/>
              </w:rPr>
              <w:t xml:space="preserve">Количество проинформированных о туристском потенциале Ленинградской области</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тыс. чел.</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690</w:t>
            </w:r>
          </w:p>
        </w:tc>
        <w:tc>
          <w:tcPr>
            <w:tcW w:w="794" w:type="dxa"/>
          </w:tcPr>
          <w:p>
            <w:pPr>
              <w:pStyle w:val="0"/>
              <w:jc w:val="center"/>
            </w:pPr>
            <w:r>
              <w:rPr>
                <w:sz w:val="20"/>
              </w:rPr>
              <w:t xml:space="preserve">740</w:t>
            </w:r>
          </w:p>
        </w:tc>
        <w:tc>
          <w:tcPr>
            <w:tcW w:w="737" w:type="dxa"/>
          </w:tcPr>
          <w:p>
            <w:pPr>
              <w:pStyle w:val="0"/>
              <w:jc w:val="center"/>
            </w:pPr>
            <w:r>
              <w:rPr>
                <w:sz w:val="20"/>
              </w:rPr>
              <w:t xml:space="preserve">790</w:t>
            </w:r>
          </w:p>
        </w:tc>
        <w:tc>
          <w:tcPr>
            <w:tcW w:w="737" w:type="dxa"/>
          </w:tcPr>
          <w:p>
            <w:pPr>
              <w:pStyle w:val="0"/>
              <w:jc w:val="center"/>
            </w:pPr>
            <w:r>
              <w:rPr>
                <w:sz w:val="20"/>
              </w:rPr>
              <w:t xml:space="preserve">840</w:t>
            </w:r>
          </w:p>
        </w:tc>
        <w:tc>
          <w:tcPr>
            <w:tcW w:w="1219" w:type="dxa"/>
            <w:vMerge w:val="restart"/>
          </w:tcPr>
          <w:p>
            <w:pPr>
              <w:pStyle w:val="0"/>
              <w:jc w:val="center"/>
            </w:pPr>
            <w:r>
              <w:rPr>
                <w:sz w:val="20"/>
              </w:rPr>
              <w:t xml:space="preserve">0,1</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590</w:t>
            </w:r>
          </w:p>
        </w:tc>
        <w:tc>
          <w:tcPr>
            <w:tcW w:w="1384" w:type="dxa"/>
          </w:tcPr>
          <w:p>
            <w:pPr>
              <w:pStyle w:val="0"/>
              <w:jc w:val="center"/>
            </w:pPr>
            <w:r>
              <w:rPr>
                <w:sz w:val="20"/>
              </w:rPr>
              <w:t xml:space="preserve">640</w:t>
            </w:r>
          </w:p>
        </w:tc>
        <w:tc>
          <w:tcPr>
            <w:tcW w:w="850" w:type="dxa"/>
          </w:tcPr>
          <w:p>
            <w:pPr>
              <w:pStyle w:val="0"/>
              <w:jc w:val="center"/>
            </w:pPr>
            <w:r>
              <w:rPr>
                <w:sz w:val="20"/>
              </w:rPr>
              <w:t xml:space="preserve">690</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11</w:t>
            </w:r>
          </w:p>
        </w:tc>
        <w:tc>
          <w:tcPr>
            <w:tcW w:w="2778" w:type="dxa"/>
            <w:vMerge w:val="restart"/>
          </w:tcPr>
          <w:p>
            <w:pPr>
              <w:pStyle w:val="0"/>
            </w:pPr>
            <w:r>
              <w:rPr>
                <w:sz w:val="20"/>
              </w:rPr>
              <w:t xml:space="preserve">Количество внедренных интерактивных и мультимедийных компонентов за период</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ед.</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8</w:t>
            </w:r>
          </w:p>
        </w:tc>
        <w:tc>
          <w:tcPr>
            <w:tcW w:w="794"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1219" w:type="dxa"/>
            <w:vMerge w:val="restart"/>
          </w:tcPr>
          <w:p>
            <w:pPr>
              <w:pStyle w:val="0"/>
              <w:jc w:val="center"/>
            </w:pPr>
            <w:r>
              <w:rPr>
                <w:sz w:val="20"/>
              </w:rPr>
              <w:t xml:space="preserve">0,05</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7</w:t>
            </w:r>
          </w:p>
        </w:tc>
        <w:tc>
          <w:tcPr>
            <w:tcW w:w="1384" w:type="dxa"/>
          </w:tcPr>
          <w:p>
            <w:pPr>
              <w:pStyle w:val="0"/>
              <w:jc w:val="center"/>
            </w:pPr>
            <w:r>
              <w:rPr>
                <w:sz w:val="20"/>
              </w:rPr>
              <w:t xml:space="preserve">7</w:t>
            </w:r>
          </w:p>
        </w:tc>
        <w:tc>
          <w:tcPr>
            <w:tcW w:w="850" w:type="dxa"/>
          </w:tcPr>
          <w:p>
            <w:pPr>
              <w:pStyle w:val="0"/>
              <w:jc w:val="center"/>
            </w:pPr>
            <w:r>
              <w:rPr>
                <w:sz w:val="20"/>
              </w:rPr>
              <w:t xml:space="preserve">8</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12</w:t>
            </w:r>
          </w:p>
        </w:tc>
        <w:tc>
          <w:tcPr>
            <w:tcW w:w="2778" w:type="dxa"/>
            <w:vMerge w:val="restart"/>
          </w:tcPr>
          <w:p>
            <w:pPr>
              <w:pStyle w:val="0"/>
            </w:pPr>
            <w:r>
              <w:rPr>
                <w:sz w:val="20"/>
              </w:rPr>
              <w:t xml:space="preserve">Количество созданных за период объектов туристской инфраструктуры (не включая средства размещения)</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ед.</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0</w:t>
            </w:r>
          </w:p>
        </w:tc>
        <w:tc>
          <w:tcPr>
            <w:tcW w:w="794" w:type="dxa"/>
          </w:tcPr>
          <w:p>
            <w:pPr>
              <w:pStyle w:val="0"/>
              <w:jc w:val="center"/>
            </w:pPr>
            <w:r>
              <w:rPr>
                <w:sz w:val="20"/>
              </w:rPr>
              <w:t xml:space="preserve">5</w:t>
            </w:r>
          </w:p>
        </w:tc>
        <w:tc>
          <w:tcPr>
            <w:tcW w:w="737" w:type="dxa"/>
          </w:tcPr>
          <w:p>
            <w:pPr>
              <w:pStyle w:val="0"/>
              <w:jc w:val="center"/>
            </w:pPr>
            <w:r>
              <w:rPr>
                <w:sz w:val="20"/>
              </w:rPr>
              <w:t xml:space="preserve">0</w:t>
            </w:r>
          </w:p>
        </w:tc>
        <w:tc>
          <w:tcPr>
            <w:tcW w:w="737" w:type="dxa"/>
          </w:tcPr>
          <w:p>
            <w:pPr>
              <w:pStyle w:val="0"/>
              <w:jc w:val="center"/>
            </w:pPr>
            <w:r>
              <w:rPr>
                <w:sz w:val="20"/>
              </w:rPr>
              <w:t xml:space="preserve">2</w:t>
            </w:r>
          </w:p>
        </w:tc>
        <w:tc>
          <w:tcPr>
            <w:tcW w:w="1219" w:type="dxa"/>
            <w:vMerge w:val="restart"/>
          </w:tcPr>
          <w:p>
            <w:pPr>
              <w:pStyle w:val="0"/>
              <w:jc w:val="center"/>
            </w:pPr>
            <w:r>
              <w:rPr>
                <w:sz w:val="20"/>
              </w:rPr>
              <w:t xml:space="preserve">0,1</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0</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13</w:t>
            </w:r>
          </w:p>
        </w:tc>
        <w:tc>
          <w:tcPr>
            <w:tcW w:w="2778" w:type="dxa"/>
            <w:vMerge w:val="restart"/>
          </w:tcPr>
          <w:p>
            <w:pPr>
              <w:pStyle w:val="0"/>
            </w:pPr>
            <w:r>
              <w:rPr>
                <w:sz w:val="20"/>
              </w:rPr>
              <w:t xml:space="preserve">Количество проектов, получивших государственную поддержку</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ед.</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17</w:t>
            </w:r>
          </w:p>
        </w:tc>
        <w:tc>
          <w:tcPr>
            <w:tcW w:w="794" w:type="dxa"/>
          </w:tcPr>
          <w:p>
            <w:pPr>
              <w:pStyle w:val="0"/>
              <w:jc w:val="center"/>
            </w:pPr>
            <w:r>
              <w:rPr>
                <w:sz w:val="20"/>
              </w:rPr>
              <w:t xml:space="preserve">17</w:t>
            </w:r>
          </w:p>
        </w:tc>
        <w:tc>
          <w:tcPr>
            <w:tcW w:w="737" w:type="dxa"/>
          </w:tcPr>
          <w:p>
            <w:pPr>
              <w:pStyle w:val="0"/>
              <w:jc w:val="center"/>
            </w:pPr>
            <w:r>
              <w:rPr>
                <w:sz w:val="20"/>
              </w:rPr>
              <w:t xml:space="preserve">17</w:t>
            </w:r>
          </w:p>
        </w:tc>
        <w:tc>
          <w:tcPr>
            <w:tcW w:w="737" w:type="dxa"/>
          </w:tcPr>
          <w:p>
            <w:pPr>
              <w:pStyle w:val="0"/>
              <w:jc w:val="center"/>
            </w:pPr>
            <w:r>
              <w:rPr>
                <w:sz w:val="20"/>
              </w:rPr>
              <w:t xml:space="preserve">17</w:t>
            </w:r>
          </w:p>
        </w:tc>
        <w:tc>
          <w:tcPr>
            <w:tcW w:w="1219" w:type="dxa"/>
            <w:vMerge w:val="restart"/>
          </w:tcPr>
          <w:p>
            <w:pPr>
              <w:pStyle w:val="0"/>
              <w:jc w:val="center"/>
            </w:pPr>
            <w:r>
              <w:rPr>
                <w:sz w:val="20"/>
              </w:rPr>
              <w:t xml:space="preserve">0,1</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17</w:t>
            </w:r>
          </w:p>
        </w:tc>
        <w:tc>
          <w:tcPr>
            <w:tcW w:w="1384" w:type="dxa"/>
          </w:tcPr>
          <w:p>
            <w:pPr>
              <w:pStyle w:val="0"/>
              <w:jc w:val="center"/>
            </w:pPr>
            <w:r>
              <w:rPr>
                <w:sz w:val="20"/>
              </w:rPr>
              <w:t xml:space="preserve">16</w:t>
            </w:r>
          </w:p>
        </w:tc>
        <w:tc>
          <w:tcPr>
            <w:tcW w:w="850" w:type="dxa"/>
          </w:tcPr>
          <w:p>
            <w:pPr>
              <w:pStyle w:val="0"/>
              <w:jc w:val="center"/>
            </w:pPr>
            <w:r>
              <w:rPr>
                <w:sz w:val="20"/>
              </w:rPr>
              <w:t xml:space="preserve">0</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r>
        <w:tc>
          <w:tcPr>
            <w:tcW w:w="510" w:type="dxa"/>
            <w:vMerge w:val="restart"/>
          </w:tcPr>
          <w:p>
            <w:pPr>
              <w:pStyle w:val="0"/>
              <w:jc w:val="center"/>
            </w:pPr>
            <w:r>
              <w:rPr>
                <w:sz w:val="20"/>
              </w:rPr>
              <w:t xml:space="preserve">14</w:t>
            </w:r>
          </w:p>
        </w:tc>
        <w:tc>
          <w:tcPr>
            <w:tcW w:w="2778" w:type="dxa"/>
            <w:vMerge w:val="restart"/>
          </w:tcPr>
          <w:p>
            <w:pPr>
              <w:pStyle w:val="0"/>
            </w:pPr>
            <w:r>
              <w:rPr>
                <w:sz w:val="20"/>
              </w:rPr>
              <w:t xml:space="preserve">Численность работников сферы туризма, принявших участие в обучающих мероприятиях (нарастающим итогом)</w:t>
            </w:r>
          </w:p>
        </w:tc>
        <w:tc>
          <w:tcPr>
            <w:tcW w:w="1587" w:type="dxa"/>
          </w:tcPr>
          <w:p>
            <w:pPr>
              <w:pStyle w:val="0"/>
            </w:pPr>
            <w:r>
              <w:rPr>
                <w:sz w:val="20"/>
              </w:rPr>
              <w:t xml:space="preserve">плановое значение</w:t>
            </w:r>
          </w:p>
        </w:tc>
        <w:tc>
          <w:tcPr>
            <w:tcW w:w="1204" w:type="dxa"/>
            <w:vMerge w:val="restart"/>
          </w:tcPr>
          <w:p>
            <w:pPr>
              <w:pStyle w:val="0"/>
              <w:jc w:val="center"/>
            </w:pPr>
            <w:r>
              <w:rPr>
                <w:sz w:val="20"/>
              </w:rPr>
              <w:t xml:space="preserve">ед.</w:t>
            </w:r>
          </w:p>
        </w:tc>
        <w:tc>
          <w:tcPr>
            <w:tcW w:w="1384" w:type="dxa"/>
          </w:tcPr>
          <w:p>
            <w:pPr>
              <w:pStyle w:val="0"/>
              <w:jc w:val="center"/>
            </w:pPr>
            <w:r>
              <w:rPr>
                <w:sz w:val="20"/>
              </w:rPr>
            </w:r>
          </w:p>
        </w:tc>
        <w:tc>
          <w:tcPr>
            <w:tcW w:w="1384" w:type="dxa"/>
          </w:tcPr>
          <w:p>
            <w:pPr>
              <w:pStyle w:val="0"/>
              <w:jc w:val="center"/>
            </w:pPr>
            <w:r>
              <w:rPr>
                <w:sz w:val="20"/>
              </w:rPr>
            </w:r>
          </w:p>
        </w:tc>
        <w:tc>
          <w:tcPr>
            <w:tcW w:w="850" w:type="dxa"/>
          </w:tcPr>
          <w:p>
            <w:pPr>
              <w:pStyle w:val="0"/>
              <w:jc w:val="center"/>
            </w:pPr>
            <w:r>
              <w:rPr>
                <w:sz w:val="20"/>
              </w:rPr>
              <w:t xml:space="preserve">750</w:t>
            </w:r>
          </w:p>
        </w:tc>
        <w:tc>
          <w:tcPr>
            <w:tcW w:w="794" w:type="dxa"/>
          </w:tcPr>
          <w:p>
            <w:pPr>
              <w:pStyle w:val="0"/>
              <w:jc w:val="center"/>
            </w:pPr>
            <w:r>
              <w:rPr>
                <w:sz w:val="20"/>
              </w:rPr>
              <w:t xml:space="preserve">900</w:t>
            </w:r>
          </w:p>
        </w:tc>
        <w:tc>
          <w:tcPr>
            <w:tcW w:w="737" w:type="dxa"/>
          </w:tcPr>
          <w:p>
            <w:pPr>
              <w:pStyle w:val="0"/>
              <w:jc w:val="center"/>
            </w:pPr>
            <w:r>
              <w:rPr>
                <w:sz w:val="20"/>
              </w:rPr>
              <w:t xml:space="preserve">1050</w:t>
            </w:r>
          </w:p>
        </w:tc>
        <w:tc>
          <w:tcPr>
            <w:tcW w:w="737" w:type="dxa"/>
          </w:tcPr>
          <w:p>
            <w:pPr>
              <w:pStyle w:val="0"/>
              <w:jc w:val="center"/>
            </w:pPr>
            <w:r>
              <w:rPr>
                <w:sz w:val="20"/>
              </w:rPr>
              <w:t xml:space="preserve">1200</w:t>
            </w:r>
          </w:p>
        </w:tc>
        <w:tc>
          <w:tcPr>
            <w:tcW w:w="1219" w:type="dxa"/>
            <w:vMerge w:val="restart"/>
          </w:tcPr>
          <w:p>
            <w:pPr>
              <w:pStyle w:val="0"/>
              <w:jc w:val="center"/>
            </w:pPr>
            <w:r>
              <w:rPr>
                <w:sz w:val="20"/>
              </w:rPr>
              <w:t xml:space="preserve">0,05</w:t>
            </w:r>
          </w:p>
        </w:tc>
      </w:tr>
      <w:tr>
        <w:tc>
          <w:tcPr>
            <w:vMerge w:val="continue"/>
          </w:tcPr>
          <w:p/>
        </w:tc>
        <w:tc>
          <w:tcPr>
            <w:vMerge w:val="continue"/>
          </w:tcPr>
          <w:p/>
        </w:tc>
        <w:tc>
          <w:tcPr>
            <w:tcW w:w="1587" w:type="dxa"/>
          </w:tcPr>
          <w:p>
            <w:pPr>
              <w:pStyle w:val="0"/>
            </w:pPr>
            <w:r>
              <w:rPr>
                <w:sz w:val="20"/>
              </w:rPr>
              <w:t xml:space="preserve">фактическое значение</w:t>
            </w:r>
          </w:p>
        </w:tc>
        <w:tc>
          <w:tcPr>
            <w:vMerge w:val="continue"/>
          </w:tcPr>
          <w:p/>
        </w:tc>
        <w:tc>
          <w:tcPr>
            <w:tcW w:w="1384" w:type="dxa"/>
          </w:tcPr>
          <w:p>
            <w:pPr>
              <w:pStyle w:val="0"/>
              <w:jc w:val="center"/>
            </w:pPr>
            <w:r>
              <w:rPr>
                <w:sz w:val="20"/>
              </w:rPr>
              <w:t xml:space="preserve">470</w:t>
            </w:r>
          </w:p>
        </w:tc>
        <w:tc>
          <w:tcPr>
            <w:tcW w:w="1384" w:type="dxa"/>
          </w:tcPr>
          <w:p>
            <w:pPr>
              <w:pStyle w:val="0"/>
              <w:jc w:val="center"/>
            </w:pPr>
            <w:r>
              <w:rPr>
                <w:sz w:val="20"/>
              </w:rPr>
              <w:t xml:space="preserve">680</w:t>
            </w:r>
          </w:p>
        </w:tc>
        <w:tc>
          <w:tcPr>
            <w:tcW w:w="850" w:type="dxa"/>
          </w:tcPr>
          <w:p>
            <w:pPr>
              <w:pStyle w:val="0"/>
              <w:jc w:val="center"/>
            </w:pPr>
            <w:r>
              <w:rPr>
                <w:sz w:val="20"/>
              </w:rPr>
              <w:t xml:space="preserve">890</w:t>
            </w:r>
          </w:p>
        </w:tc>
        <w:tc>
          <w:tcPr>
            <w:tcW w:w="794"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vMerge w:val="continue"/>
          </w:tcP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ind w:firstLine="540"/>
        <w:jc w:val="both"/>
      </w:pPr>
      <w:r>
        <w:rPr>
          <w:sz w:val="20"/>
        </w:rPr>
      </w:r>
    </w:p>
    <w:p>
      <w:pPr>
        <w:pStyle w:val="2"/>
        <w:jc w:val="center"/>
      </w:pPr>
      <w:r>
        <w:rPr>
          <w:sz w:val="20"/>
        </w:rPr>
        <w:t xml:space="preserve">Сведения</w:t>
      </w:r>
    </w:p>
    <w:p>
      <w:pPr>
        <w:pStyle w:val="2"/>
        <w:jc w:val="center"/>
      </w:pPr>
      <w:r>
        <w:rPr>
          <w:sz w:val="20"/>
        </w:rPr>
        <w:t xml:space="preserve">о порядке сбора информации и методике расчета показателей</w:t>
      </w:r>
    </w:p>
    <w:p>
      <w:pPr>
        <w:pStyle w:val="2"/>
        <w:jc w:val="center"/>
      </w:pPr>
      <w:r>
        <w:rPr>
          <w:sz w:val="20"/>
        </w:rPr>
        <w:t xml:space="preserve">(индикаторов) государственной программы</w:t>
      </w:r>
    </w:p>
    <w:p>
      <w:pPr>
        <w:pStyle w:val="2"/>
        <w:jc w:val="center"/>
      </w:pPr>
      <w:r>
        <w:rPr>
          <w:sz w:val="20"/>
        </w:rPr>
        <w:t xml:space="preserve">Ленинградской области "Развитие внутреннего и въездного</w:t>
      </w:r>
    </w:p>
    <w:p>
      <w:pPr>
        <w:pStyle w:val="2"/>
        <w:jc w:val="center"/>
      </w:pPr>
      <w:r>
        <w:rPr>
          <w:sz w:val="20"/>
        </w:rPr>
        <w:t xml:space="preserve">туризма в Ленинградской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24"/>
        <w:gridCol w:w="1361"/>
        <w:gridCol w:w="1814"/>
        <w:gridCol w:w="2948"/>
        <w:gridCol w:w="1759"/>
        <w:gridCol w:w="1744"/>
        <w:gridCol w:w="1219"/>
      </w:tblGrid>
      <w:tr>
        <w:tc>
          <w:tcPr>
            <w:tcW w:w="567" w:type="dxa"/>
          </w:tcPr>
          <w:p>
            <w:pPr>
              <w:pStyle w:val="0"/>
              <w:jc w:val="center"/>
            </w:pPr>
            <w:r>
              <w:rPr>
                <w:sz w:val="20"/>
              </w:rPr>
              <w:t xml:space="preserve">N п/п</w:t>
            </w:r>
          </w:p>
        </w:tc>
        <w:tc>
          <w:tcPr>
            <w:tcW w:w="2524" w:type="dxa"/>
          </w:tcPr>
          <w:p>
            <w:pPr>
              <w:pStyle w:val="0"/>
              <w:jc w:val="center"/>
            </w:pPr>
            <w:r>
              <w:rPr>
                <w:sz w:val="20"/>
              </w:rPr>
              <w:t xml:space="preserve">Наименование показателя</w:t>
            </w:r>
          </w:p>
        </w:tc>
        <w:tc>
          <w:tcPr>
            <w:tcW w:w="1361" w:type="dxa"/>
          </w:tcPr>
          <w:p>
            <w:pPr>
              <w:pStyle w:val="0"/>
              <w:jc w:val="center"/>
            </w:pPr>
            <w:r>
              <w:rPr>
                <w:sz w:val="20"/>
              </w:rPr>
              <w:t xml:space="preserve">Единица измерения</w:t>
            </w:r>
          </w:p>
        </w:tc>
        <w:tc>
          <w:tcPr>
            <w:tcW w:w="1814" w:type="dxa"/>
          </w:tcPr>
          <w:p>
            <w:pPr>
              <w:pStyle w:val="0"/>
              <w:jc w:val="center"/>
            </w:pPr>
            <w:r>
              <w:rPr>
                <w:sz w:val="20"/>
              </w:rPr>
              <w:t xml:space="preserve">Временные характеристики показателя</w:t>
            </w:r>
          </w:p>
        </w:tc>
        <w:tc>
          <w:tcPr>
            <w:tcW w:w="2948" w:type="dxa"/>
          </w:tcPr>
          <w:p>
            <w:pPr>
              <w:pStyle w:val="0"/>
              <w:jc w:val="center"/>
            </w:pPr>
            <w:r>
              <w:rPr>
                <w:sz w:val="20"/>
              </w:rPr>
              <w:t xml:space="preserve">Алгоритм формирования (формула) и методологические пояснения к показателю</w:t>
            </w:r>
          </w:p>
        </w:tc>
        <w:tc>
          <w:tcPr>
            <w:tcW w:w="1759" w:type="dxa"/>
          </w:tcPr>
          <w:p>
            <w:pPr>
              <w:pStyle w:val="0"/>
              <w:jc w:val="center"/>
            </w:pPr>
            <w:r>
              <w:rPr>
                <w:sz w:val="20"/>
              </w:rPr>
              <w:t xml:space="preserve">Срок предоставления отчетности</w:t>
            </w:r>
          </w:p>
        </w:tc>
        <w:tc>
          <w:tcPr>
            <w:tcW w:w="1744" w:type="dxa"/>
          </w:tcPr>
          <w:p>
            <w:pPr>
              <w:pStyle w:val="0"/>
              <w:jc w:val="center"/>
            </w:pPr>
            <w:r>
              <w:rPr>
                <w:sz w:val="20"/>
              </w:rPr>
              <w:t xml:space="preserve">Ответственный за сбор данных по показателю</w:t>
            </w:r>
          </w:p>
        </w:tc>
        <w:tc>
          <w:tcPr>
            <w:tcW w:w="1219" w:type="dxa"/>
          </w:tcPr>
          <w:p>
            <w:pPr>
              <w:pStyle w:val="0"/>
              <w:jc w:val="center"/>
            </w:pPr>
            <w:r>
              <w:rPr>
                <w:sz w:val="20"/>
              </w:rPr>
              <w:t xml:space="preserve">Реквизиты акта</w:t>
            </w:r>
          </w:p>
        </w:tc>
      </w:tr>
      <w:tr>
        <w:tc>
          <w:tcPr>
            <w:tcW w:w="567" w:type="dxa"/>
          </w:tcPr>
          <w:p>
            <w:pPr>
              <w:pStyle w:val="0"/>
              <w:jc w:val="center"/>
            </w:pPr>
            <w:r>
              <w:rPr>
                <w:sz w:val="20"/>
              </w:rPr>
              <w:t xml:space="preserve">1</w:t>
            </w:r>
          </w:p>
        </w:tc>
        <w:tc>
          <w:tcPr>
            <w:tcW w:w="2524" w:type="dxa"/>
          </w:tcPr>
          <w:p>
            <w:pPr>
              <w:pStyle w:val="0"/>
              <w:jc w:val="center"/>
            </w:pPr>
            <w:r>
              <w:rPr>
                <w:sz w:val="20"/>
              </w:rPr>
              <w:t xml:space="preserve">2</w:t>
            </w:r>
          </w:p>
        </w:tc>
        <w:tc>
          <w:tcPr>
            <w:tcW w:w="1361" w:type="dxa"/>
          </w:tcPr>
          <w:p>
            <w:pPr>
              <w:pStyle w:val="0"/>
              <w:jc w:val="center"/>
            </w:pPr>
            <w:r>
              <w:rPr>
                <w:sz w:val="20"/>
              </w:rPr>
              <w:t xml:space="preserve">3</w:t>
            </w:r>
          </w:p>
        </w:tc>
        <w:tc>
          <w:tcPr>
            <w:tcW w:w="1814" w:type="dxa"/>
          </w:tcPr>
          <w:p>
            <w:pPr>
              <w:pStyle w:val="0"/>
              <w:jc w:val="center"/>
            </w:pPr>
            <w:r>
              <w:rPr>
                <w:sz w:val="20"/>
              </w:rPr>
              <w:t xml:space="preserve">4</w:t>
            </w:r>
          </w:p>
        </w:tc>
        <w:tc>
          <w:tcPr>
            <w:tcW w:w="2948" w:type="dxa"/>
          </w:tcPr>
          <w:p>
            <w:pPr>
              <w:pStyle w:val="0"/>
              <w:jc w:val="center"/>
            </w:pPr>
            <w:r>
              <w:rPr>
                <w:sz w:val="20"/>
              </w:rPr>
              <w:t xml:space="preserve">5</w:t>
            </w:r>
          </w:p>
        </w:tc>
        <w:tc>
          <w:tcPr>
            <w:tcW w:w="1759" w:type="dxa"/>
          </w:tcPr>
          <w:p>
            <w:pPr>
              <w:pStyle w:val="0"/>
              <w:jc w:val="center"/>
            </w:pPr>
            <w:r>
              <w:rPr>
                <w:sz w:val="20"/>
              </w:rPr>
              <w:t xml:space="preserve">6</w:t>
            </w:r>
          </w:p>
        </w:tc>
        <w:tc>
          <w:tcPr>
            <w:tcW w:w="1744" w:type="dxa"/>
          </w:tcPr>
          <w:p>
            <w:pPr>
              <w:pStyle w:val="0"/>
              <w:jc w:val="center"/>
            </w:pPr>
            <w:r>
              <w:rPr>
                <w:sz w:val="20"/>
              </w:rPr>
              <w:t xml:space="preserve">7</w:t>
            </w:r>
          </w:p>
        </w:tc>
        <w:tc>
          <w:tcPr>
            <w:tcW w:w="1219" w:type="dxa"/>
          </w:tcPr>
          <w:p>
            <w:pPr>
              <w:pStyle w:val="0"/>
              <w:jc w:val="center"/>
            </w:pPr>
            <w:r>
              <w:rPr>
                <w:sz w:val="20"/>
              </w:rPr>
              <w:t xml:space="preserve">8</w:t>
            </w:r>
          </w:p>
        </w:tc>
      </w:tr>
      <w:tr>
        <w:tc>
          <w:tcPr>
            <w:tcW w:w="567" w:type="dxa"/>
          </w:tcPr>
          <w:p>
            <w:pPr>
              <w:pStyle w:val="0"/>
              <w:jc w:val="center"/>
            </w:pPr>
            <w:r>
              <w:rPr>
                <w:sz w:val="20"/>
              </w:rPr>
              <w:t xml:space="preserve">1</w:t>
            </w:r>
          </w:p>
        </w:tc>
        <w:tc>
          <w:tcPr>
            <w:tcW w:w="2524" w:type="dxa"/>
          </w:tcPr>
          <w:p>
            <w:pPr>
              <w:pStyle w:val="0"/>
            </w:pPr>
            <w:r>
              <w:rPr>
                <w:sz w:val="20"/>
              </w:rPr>
              <w:t xml:space="preserve">Объем платных услуг, оказанных населению в сфере внутреннего и въездного туризма</w:t>
            </w:r>
          </w:p>
        </w:tc>
        <w:tc>
          <w:tcPr>
            <w:tcW w:w="1361" w:type="dxa"/>
          </w:tcPr>
          <w:p>
            <w:pPr>
              <w:pStyle w:val="0"/>
              <w:jc w:val="center"/>
            </w:pPr>
            <w:r>
              <w:rPr>
                <w:sz w:val="20"/>
              </w:rPr>
              <w:t xml:space="preserve">Млн руб.</w:t>
            </w:r>
          </w:p>
        </w:tc>
        <w:tc>
          <w:tcPr>
            <w:tcW w:w="1814" w:type="dxa"/>
          </w:tcPr>
          <w:p>
            <w:pPr>
              <w:pStyle w:val="0"/>
              <w:jc w:val="center"/>
            </w:pPr>
            <w:r>
              <w:rPr>
                <w:sz w:val="20"/>
              </w:rPr>
              <w:t xml:space="preserve">За год</w:t>
            </w:r>
          </w:p>
        </w:tc>
        <w:tc>
          <w:tcPr>
            <w:tcW w:w="2948" w:type="dxa"/>
          </w:tcPr>
          <w:p>
            <w:pPr>
              <w:pStyle w:val="0"/>
            </w:pPr>
            <w:r>
              <w:rPr>
                <w:sz w:val="20"/>
              </w:rPr>
              <w:t xml:space="preserve">Данные статистики</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2</w:t>
            </w:r>
          </w:p>
        </w:tc>
        <w:tc>
          <w:tcPr>
            <w:tcW w:w="2524" w:type="dxa"/>
          </w:tcPr>
          <w:p>
            <w:pPr>
              <w:pStyle w:val="0"/>
            </w:pPr>
            <w:r>
              <w:rPr>
                <w:sz w:val="20"/>
              </w:rPr>
              <w:t xml:space="preserve">Количество экскурсантов, посетивших регион</w:t>
            </w:r>
          </w:p>
        </w:tc>
        <w:tc>
          <w:tcPr>
            <w:tcW w:w="1361" w:type="dxa"/>
          </w:tcPr>
          <w:p>
            <w:pPr>
              <w:pStyle w:val="0"/>
              <w:jc w:val="center"/>
            </w:pPr>
            <w:r>
              <w:rPr>
                <w:sz w:val="20"/>
              </w:rPr>
              <w:t xml:space="preserve">Тыс. чел.</w:t>
            </w:r>
          </w:p>
        </w:tc>
        <w:tc>
          <w:tcPr>
            <w:tcW w:w="1814" w:type="dxa"/>
          </w:tcPr>
          <w:p>
            <w:pPr>
              <w:pStyle w:val="0"/>
              <w:jc w:val="center"/>
            </w:pPr>
            <w:r>
              <w:rPr>
                <w:sz w:val="20"/>
              </w:rPr>
              <w:t xml:space="preserve">За год</w:t>
            </w:r>
          </w:p>
        </w:tc>
        <w:tc>
          <w:tcPr>
            <w:tcW w:w="2948" w:type="dxa"/>
          </w:tcPr>
          <w:p>
            <w:pPr>
              <w:pStyle w:val="0"/>
            </w:pPr>
            <w:r>
              <w:rPr>
                <w:sz w:val="20"/>
              </w:rPr>
              <w:t xml:space="preserve">Запрос данных у муниципальных образований. Подсчет количества экскурсантов</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3</w:t>
            </w:r>
          </w:p>
        </w:tc>
        <w:tc>
          <w:tcPr>
            <w:tcW w:w="2524" w:type="dxa"/>
          </w:tcPr>
          <w:p>
            <w:pPr>
              <w:pStyle w:val="0"/>
            </w:pPr>
            <w:r>
              <w:rPr>
                <w:sz w:val="20"/>
              </w:rPr>
              <w:t xml:space="preserve">Количество иностранных туристов</w:t>
            </w:r>
          </w:p>
        </w:tc>
        <w:tc>
          <w:tcPr>
            <w:tcW w:w="1361" w:type="dxa"/>
          </w:tcPr>
          <w:p>
            <w:pPr>
              <w:pStyle w:val="0"/>
              <w:jc w:val="center"/>
            </w:pPr>
            <w:r>
              <w:rPr>
                <w:sz w:val="20"/>
              </w:rPr>
              <w:t xml:space="preserve">Тыс. чел.</w:t>
            </w:r>
          </w:p>
        </w:tc>
        <w:tc>
          <w:tcPr>
            <w:tcW w:w="1814" w:type="dxa"/>
          </w:tcPr>
          <w:p>
            <w:pPr>
              <w:pStyle w:val="0"/>
              <w:jc w:val="center"/>
            </w:pPr>
            <w:r>
              <w:rPr>
                <w:sz w:val="20"/>
              </w:rPr>
              <w:t xml:space="preserve">За год</w:t>
            </w:r>
          </w:p>
        </w:tc>
        <w:tc>
          <w:tcPr>
            <w:tcW w:w="2948" w:type="dxa"/>
          </w:tcPr>
          <w:p>
            <w:pPr>
              <w:pStyle w:val="0"/>
            </w:pPr>
            <w:r>
              <w:rPr>
                <w:sz w:val="20"/>
              </w:rPr>
              <w:t xml:space="preserve">Запрос данных у муниципальных образований. Подсчет количества иностранных туристов</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4</w:t>
            </w:r>
          </w:p>
        </w:tc>
        <w:tc>
          <w:tcPr>
            <w:tcW w:w="2524" w:type="dxa"/>
          </w:tcPr>
          <w:p>
            <w:pPr>
              <w:pStyle w:val="0"/>
            </w:pPr>
            <w:r>
              <w:rPr>
                <w:sz w:val="20"/>
              </w:rPr>
              <w:t xml:space="preserve">Прирост числа занятых в коллективных средствах размещения и турфирмах в среднем за период</w:t>
            </w:r>
          </w:p>
        </w:tc>
        <w:tc>
          <w:tcPr>
            <w:tcW w:w="1361" w:type="dxa"/>
          </w:tcPr>
          <w:p>
            <w:pPr>
              <w:pStyle w:val="0"/>
              <w:jc w:val="center"/>
            </w:pPr>
            <w:r>
              <w:rPr>
                <w:sz w:val="20"/>
              </w:rPr>
              <w:t xml:space="preserve">Проц.</w:t>
            </w:r>
          </w:p>
        </w:tc>
        <w:tc>
          <w:tcPr>
            <w:tcW w:w="1814" w:type="dxa"/>
          </w:tcPr>
          <w:p>
            <w:pPr>
              <w:pStyle w:val="0"/>
              <w:jc w:val="center"/>
            </w:pPr>
            <w:r>
              <w:rPr>
                <w:sz w:val="20"/>
              </w:rPr>
              <w:t xml:space="preserve">На конец года</w:t>
            </w:r>
          </w:p>
        </w:tc>
        <w:tc>
          <w:tcPr>
            <w:tcW w:w="2948" w:type="dxa"/>
          </w:tcPr>
          <w:p>
            <w:pPr>
              <w:pStyle w:val="0"/>
            </w:pPr>
            <w:r>
              <w:rPr>
                <w:sz w:val="20"/>
              </w:rPr>
              <w:t xml:space="preserve">Запрос данных у муниципальных образований. Подсчет сложением</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5</w:t>
            </w:r>
          </w:p>
        </w:tc>
        <w:tc>
          <w:tcPr>
            <w:tcW w:w="2524" w:type="dxa"/>
          </w:tcPr>
          <w:p>
            <w:pPr>
              <w:pStyle w:val="0"/>
            </w:pPr>
            <w:r>
              <w:rPr>
                <w:sz w:val="20"/>
              </w:rPr>
              <w:t xml:space="preserve">Количество лиц, размещенных в коллективных средствах размещения</w:t>
            </w:r>
          </w:p>
        </w:tc>
        <w:tc>
          <w:tcPr>
            <w:tcW w:w="1361" w:type="dxa"/>
          </w:tcPr>
          <w:p>
            <w:pPr>
              <w:pStyle w:val="0"/>
              <w:jc w:val="center"/>
            </w:pPr>
            <w:r>
              <w:rPr>
                <w:sz w:val="20"/>
              </w:rPr>
              <w:t xml:space="preserve">Тыс. чел.</w:t>
            </w:r>
          </w:p>
        </w:tc>
        <w:tc>
          <w:tcPr>
            <w:tcW w:w="1814" w:type="dxa"/>
          </w:tcPr>
          <w:p>
            <w:pPr>
              <w:pStyle w:val="0"/>
              <w:jc w:val="center"/>
            </w:pPr>
            <w:r>
              <w:rPr>
                <w:sz w:val="20"/>
              </w:rPr>
              <w:t xml:space="preserve">За год</w:t>
            </w:r>
          </w:p>
        </w:tc>
        <w:tc>
          <w:tcPr>
            <w:tcW w:w="2948" w:type="dxa"/>
          </w:tcPr>
          <w:p>
            <w:pPr>
              <w:pStyle w:val="0"/>
            </w:pPr>
            <w:r>
              <w:rPr>
                <w:sz w:val="20"/>
              </w:rPr>
              <w:t xml:space="preserve">Запрос данных у муниципальных образований</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6</w:t>
            </w:r>
          </w:p>
        </w:tc>
        <w:tc>
          <w:tcPr>
            <w:tcW w:w="2524" w:type="dxa"/>
          </w:tcPr>
          <w:p>
            <w:pPr>
              <w:pStyle w:val="0"/>
            </w:pPr>
            <w:r>
              <w:rPr>
                <w:sz w:val="20"/>
              </w:rPr>
              <w:t xml:space="preserve">Прирост объема налоговых поступлений в бюджет Ленинградской области от туристической отрасли по отношению к предыдущему году</w:t>
            </w:r>
          </w:p>
        </w:tc>
        <w:tc>
          <w:tcPr>
            <w:tcW w:w="1361" w:type="dxa"/>
          </w:tcPr>
          <w:p>
            <w:pPr>
              <w:pStyle w:val="0"/>
              <w:jc w:val="center"/>
            </w:pPr>
            <w:r>
              <w:rPr>
                <w:sz w:val="20"/>
              </w:rPr>
              <w:t xml:space="preserve">Проц.</w:t>
            </w:r>
          </w:p>
        </w:tc>
        <w:tc>
          <w:tcPr>
            <w:tcW w:w="1814" w:type="dxa"/>
          </w:tcPr>
          <w:p>
            <w:pPr>
              <w:pStyle w:val="0"/>
              <w:jc w:val="center"/>
            </w:pPr>
            <w:r>
              <w:rPr>
                <w:sz w:val="20"/>
              </w:rPr>
              <w:t xml:space="preserve">За год</w:t>
            </w:r>
          </w:p>
        </w:tc>
        <w:tc>
          <w:tcPr>
            <w:tcW w:w="2948" w:type="dxa"/>
          </w:tcPr>
          <w:p>
            <w:pPr>
              <w:pStyle w:val="0"/>
            </w:pPr>
            <w:r>
              <w:rPr>
                <w:sz w:val="20"/>
              </w:rPr>
              <w:t xml:space="preserve">Данные ФНС (на основе отчетности 1-НОМ)</w:t>
            </w:r>
          </w:p>
          <w:p>
            <w:pPr>
              <w:pStyle w:val="0"/>
            </w:pPr>
            <w:r>
              <w:rPr>
                <w:sz w:val="20"/>
              </w:rPr>
              <w:t xml:space="preserve">(А : Б) x 100%,</w:t>
            </w:r>
          </w:p>
          <w:p>
            <w:pPr>
              <w:pStyle w:val="0"/>
            </w:pPr>
            <w:r>
              <w:rPr>
                <w:sz w:val="20"/>
              </w:rPr>
              <w:t xml:space="preserve">где:</w:t>
            </w:r>
          </w:p>
          <w:p>
            <w:pPr>
              <w:pStyle w:val="0"/>
            </w:pPr>
            <w:r>
              <w:rPr>
                <w:sz w:val="20"/>
              </w:rPr>
              <w:t xml:space="preserve">А, Б - объем налоговых поступлений в бюджет Ленинградской области от туристической отрасли (коды ОКВЭД 55, 79) за отчетный год и год, предшествующий отчетному, соответственно</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7</w:t>
            </w:r>
          </w:p>
        </w:tc>
        <w:tc>
          <w:tcPr>
            <w:tcW w:w="2524" w:type="dxa"/>
          </w:tcPr>
          <w:p>
            <w:pPr>
              <w:pStyle w:val="0"/>
            </w:pPr>
            <w:r>
              <w:rPr>
                <w:sz w:val="20"/>
              </w:rPr>
              <w:t xml:space="preserve">Общий туристский поток Ленинградской области</w:t>
            </w:r>
          </w:p>
        </w:tc>
        <w:tc>
          <w:tcPr>
            <w:tcW w:w="1361" w:type="dxa"/>
          </w:tcPr>
          <w:p>
            <w:pPr>
              <w:pStyle w:val="0"/>
              <w:jc w:val="center"/>
            </w:pPr>
            <w:r>
              <w:rPr>
                <w:sz w:val="20"/>
              </w:rPr>
              <w:t xml:space="preserve">Тыс. чел.</w:t>
            </w:r>
          </w:p>
        </w:tc>
        <w:tc>
          <w:tcPr>
            <w:tcW w:w="1814" w:type="dxa"/>
          </w:tcPr>
          <w:p>
            <w:pPr>
              <w:pStyle w:val="0"/>
              <w:jc w:val="center"/>
            </w:pPr>
            <w:r>
              <w:rPr>
                <w:sz w:val="20"/>
              </w:rPr>
              <w:t xml:space="preserve">За год</w:t>
            </w:r>
          </w:p>
        </w:tc>
        <w:tc>
          <w:tcPr>
            <w:tcW w:w="2948" w:type="dxa"/>
          </w:tcPr>
          <w:p>
            <w:pPr>
              <w:pStyle w:val="0"/>
            </w:pPr>
            <w:r>
              <w:rPr>
                <w:sz w:val="20"/>
              </w:rPr>
              <w:t xml:space="preserve">Запрос данных у муниципальных образований. Подсчет количества туристов и экскурсантов</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8</w:t>
            </w:r>
          </w:p>
        </w:tc>
        <w:tc>
          <w:tcPr>
            <w:tcW w:w="2524" w:type="dxa"/>
          </w:tcPr>
          <w:p>
            <w:pPr>
              <w:pStyle w:val="0"/>
            </w:pPr>
            <w:r>
              <w:rPr>
                <w:sz w:val="20"/>
              </w:rPr>
              <w:t xml:space="preserve">Число межрегиональных и международных туристских проектов, в которых регион принимает участие</w:t>
            </w:r>
          </w:p>
        </w:tc>
        <w:tc>
          <w:tcPr>
            <w:tcW w:w="1361" w:type="dxa"/>
          </w:tcPr>
          <w:p>
            <w:pPr>
              <w:pStyle w:val="0"/>
              <w:jc w:val="center"/>
            </w:pPr>
            <w:r>
              <w:rPr>
                <w:sz w:val="20"/>
              </w:rPr>
              <w:t xml:space="preserve">Ед.</w:t>
            </w:r>
          </w:p>
        </w:tc>
        <w:tc>
          <w:tcPr>
            <w:tcW w:w="1814" w:type="dxa"/>
          </w:tcPr>
          <w:p>
            <w:pPr>
              <w:pStyle w:val="0"/>
              <w:jc w:val="center"/>
            </w:pPr>
            <w:r>
              <w:rPr>
                <w:sz w:val="20"/>
              </w:rPr>
              <w:t xml:space="preserve">За год</w:t>
            </w:r>
          </w:p>
        </w:tc>
        <w:tc>
          <w:tcPr>
            <w:tcW w:w="2948" w:type="dxa"/>
          </w:tcPr>
          <w:p>
            <w:pPr>
              <w:pStyle w:val="0"/>
            </w:pPr>
            <w:r>
              <w:rPr>
                <w:sz w:val="20"/>
              </w:rPr>
              <w:t xml:space="preserve">Подсчет количества проектов</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9</w:t>
            </w:r>
          </w:p>
        </w:tc>
        <w:tc>
          <w:tcPr>
            <w:tcW w:w="2524" w:type="dxa"/>
          </w:tcPr>
          <w:p>
            <w:pPr>
              <w:pStyle w:val="0"/>
            </w:pPr>
            <w:r>
              <w:rPr>
                <w:sz w:val="20"/>
              </w:rPr>
              <w:t xml:space="preserve">Количество новых туристических маршрутов</w:t>
            </w:r>
          </w:p>
        </w:tc>
        <w:tc>
          <w:tcPr>
            <w:tcW w:w="1361" w:type="dxa"/>
          </w:tcPr>
          <w:p>
            <w:pPr>
              <w:pStyle w:val="0"/>
              <w:jc w:val="center"/>
            </w:pPr>
            <w:r>
              <w:rPr>
                <w:sz w:val="20"/>
              </w:rPr>
              <w:t xml:space="preserve">Ед.</w:t>
            </w:r>
          </w:p>
        </w:tc>
        <w:tc>
          <w:tcPr>
            <w:tcW w:w="1814" w:type="dxa"/>
          </w:tcPr>
          <w:p>
            <w:pPr>
              <w:pStyle w:val="0"/>
              <w:jc w:val="center"/>
            </w:pPr>
            <w:r>
              <w:rPr>
                <w:sz w:val="20"/>
              </w:rPr>
              <w:t xml:space="preserve">За год</w:t>
            </w:r>
          </w:p>
        </w:tc>
        <w:tc>
          <w:tcPr>
            <w:tcW w:w="2948" w:type="dxa"/>
          </w:tcPr>
          <w:p>
            <w:pPr>
              <w:pStyle w:val="0"/>
            </w:pPr>
            <w:r>
              <w:rPr>
                <w:sz w:val="20"/>
              </w:rPr>
              <w:t xml:space="preserve">Подсчет количества маршрутов</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10</w:t>
            </w:r>
          </w:p>
        </w:tc>
        <w:tc>
          <w:tcPr>
            <w:tcW w:w="2524" w:type="dxa"/>
          </w:tcPr>
          <w:p>
            <w:pPr>
              <w:pStyle w:val="0"/>
            </w:pPr>
            <w:r>
              <w:rPr>
                <w:sz w:val="20"/>
              </w:rPr>
              <w:t xml:space="preserve">Количество проинформированных о туристском потенциале Ленинградской области</w:t>
            </w:r>
          </w:p>
        </w:tc>
        <w:tc>
          <w:tcPr>
            <w:tcW w:w="1361" w:type="dxa"/>
          </w:tcPr>
          <w:p>
            <w:pPr>
              <w:pStyle w:val="0"/>
              <w:jc w:val="center"/>
            </w:pPr>
            <w:r>
              <w:rPr>
                <w:sz w:val="20"/>
              </w:rPr>
              <w:t xml:space="preserve">Тыс. чел.</w:t>
            </w:r>
          </w:p>
        </w:tc>
        <w:tc>
          <w:tcPr>
            <w:tcW w:w="1814" w:type="dxa"/>
          </w:tcPr>
          <w:p>
            <w:pPr>
              <w:pStyle w:val="0"/>
              <w:jc w:val="center"/>
            </w:pPr>
            <w:r>
              <w:rPr>
                <w:sz w:val="20"/>
              </w:rPr>
              <w:t xml:space="preserve">За год</w:t>
            </w:r>
          </w:p>
        </w:tc>
        <w:tc>
          <w:tcPr>
            <w:tcW w:w="2948" w:type="dxa"/>
          </w:tcPr>
          <w:p>
            <w:pPr>
              <w:pStyle w:val="0"/>
            </w:pPr>
            <w:r>
              <w:rPr>
                <w:sz w:val="20"/>
              </w:rPr>
              <w:t xml:space="preserve">Подсчет количества проинформированных</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11</w:t>
            </w:r>
          </w:p>
        </w:tc>
        <w:tc>
          <w:tcPr>
            <w:tcW w:w="2524" w:type="dxa"/>
          </w:tcPr>
          <w:p>
            <w:pPr>
              <w:pStyle w:val="0"/>
            </w:pPr>
            <w:r>
              <w:rPr>
                <w:sz w:val="20"/>
              </w:rPr>
              <w:t xml:space="preserve">Количество внедренных интерактивных и мультимедийных компонентов за период</w:t>
            </w:r>
          </w:p>
        </w:tc>
        <w:tc>
          <w:tcPr>
            <w:tcW w:w="1361" w:type="dxa"/>
          </w:tcPr>
          <w:p>
            <w:pPr>
              <w:pStyle w:val="0"/>
              <w:jc w:val="center"/>
            </w:pPr>
            <w:r>
              <w:rPr>
                <w:sz w:val="20"/>
              </w:rPr>
              <w:t xml:space="preserve">Ед.</w:t>
            </w:r>
          </w:p>
        </w:tc>
        <w:tc>
          <w:tcPr>
            <w:tcW w:w="1814" w:type="dxa"/>
          </w:tcPr>
          <w:p>
            <w:pPr>
              <w:pStyle w:val="0"/>
              <w:jc w:val="center"/>
            </w:pPr>
            <w:r>
              <w:rPr>
                <w:sz w:val="20"/>
              </w:rPr>
              <w:t xml:space="preserve">За период с начала 2020 года</w:t>
            </w:r>
          </w:p>
        </w:tc>
        <w:tc>
          <w:tcPr>
            <w:tcW w:w="2948" w:type="dxa"/>
          </w:tcPr>
          <w:p>
            <w:pPr>
              <w:pStyle w:val="0"/>
            </w:pPr>
            <w:r>
              <w:rPr>
                <w:sz w:val="20"/>
              </w:rPr>
              <w:t xml:space="preserve">Подсчет сложением нарастающим итогом</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12</w:t>
            </w:r>
          </w:p>
        </w:tc>
        <w:tc>
          <w:tcPr>
            <w:tcW w:w="2524" w:type="dxa"/>
          </w:tcPr>
          <w:p>
            <w:pPr>
              <w:pStyle w:val="0"/>
            </w:pPr>
            <w:r>
              <w:rPr>
                <w:sz w:val="20"/>
              </w:rPr>
              <w:t xml:space="preserve">Количество созданных за период объектов туристской инфраструктуры</w:t>
            </w:r>
          </w:p>
        </w:tc>
        <w:tc>
          <w:tcPr>
            <w:tcW w:w="1361" w:type="dxa"/>
          </w:tcPr>
          <w:p>
            <w:pPr>
              <w:pStyle w:val="0"/>
              <w:jc w:val="center"/>
            </w:pPr>
            <w:r>
              <w:rPr>
                <w:sz w:val="20"/>
              </w:rPr>
              <w:t xml:space="preserve">Ед.</w:t>
            </w:r>
          </w:p>
        </w:tc>
        <w:tc>
          <w:tcPr>
            <w:tcW w:w="1814" w:type="dxa"/>
          </w:tcPr>
          <w:p>
            <w:pPr>
              <w:pStyle w:val="0"/>
              <w:jc w:val="center"/>
            </w:pPr>
            <w:r>
              <w:rPr>
                <w:sz w:val="20"/>
              </w:rPr>
              <w:t xml:space="preserve">На конец года</w:t>
            </w:r>
          </w:p>
        </w:tc>
        <w:tc>
          <w:tcPr>
            <w:tcW w:w="2948" w:type="dxa"/>
          </w:tcPr>
          <w:p>
            <w:pPr>
              <w:pStyle w:val="0"/>
            </w:pPr>
            <w:r>
              <w:rPr>
                <w:sz w:val="20"/>
              </w:rPr>
              <w:t xml:space="preserve">Подсчет количества объектов</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13</w:t>
            </w:r>
          </w:p>
        </w:tc>
        <w:tc>
          <w:tcPr>
            <w:tcW w:w="2524" w:type="dxa"/>
          </w:tcPr>
          <w:p>
            <w:pPr>
              <w:pStyle w:val="0"/>
            </w:pPr>
            <w:r>
              <w:rPr>
                <w:sz w:val="20"/>
              </w:rPr>
              <w:t xml:space="preserve">Количество проектов, получивших государственную поддержку</w:t>
            </w:r>
          </w:p>
        </w:tc>
        <w:tc>
          <w:tcPr>
            <w:tcW w:w="1361" w:type="dxa"/>
          </w:tcPr>
          <w:p>
            <w:pPr>
              <w:pStyle w:val="0"/>
              <w:jc w:val="center"/>
            </w:pPr>
            <w:r>
              <w:rPr>
                <w:sz w:val="20"/>
              </w:rPr>
              <w:t xml:space="preserve">Ед.</w:t>
            </w:r>
          </w:p>
        </w:tc>
        <w:tc>
          <w:tcPr>
            <w:tcW w:w="1814" w:type="dxa"/>
          </w:tcPr>
          <w:p>
            <w:pPr>
              <w:pStyle w:val="0"/>
              <w:jc w:val="center"/>
            </w:pPr>
            <w:r>
              <w:rPr>
                <w:sz w:val="20"/>
              </w:rPr>
              <w:t xml:space="preserve">За год</w:t>
            </w:r>
          </w:p>
        </w:tc>
        <w:tc>
          <w:tcPr>
            <w:tcW w:w="2948" w:type="dxa"/>
          </w:tcPr>
          <w:p>
            <w:pPr>
              <w:pStyle w:val="0"/>
            </w:pPr>
            <w:r>
              <w:rPr>
                <w:sz w:val="20"/>
              </w:rPr>
              <w:t xml:space="preserve">Подсчет количества проектов</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r>
        <w:tc>
          <w:tcPr>
            <w:tcW w:w="567" w:type="dxa"/>
          </w:tcPr>
          <w:p>
            <w:pPr>
              <w:pStyle w:val="0"/>
              <w:jc w:val="center"/>
            </w:pPr>
            <w:r>
              <w:rPr>
                <w:sz w:val="20"/>
              </w:rPr>
              <w:t xml:space="preserve">14</w:t>
            </w:r>
          </w:p>
        </w:tc>
        <w:tc>
          <w:tcPr>
            <w:tcW w:w="2524" w:type="dxa"/>
          </w:tcPr>
          <w:p>
            <w:pPr>
              <w:pStyle w:val="0"/>
            </w:pPr>
            <w:r>
              <w:rPr>
                <w:sz w:val="20"/>
              </w:rPr>
              <w:t xml:space="preserve">Численность работников сферы туризма, принявших участие в обучающих мероприятиях</w:t>
            </w:r>
          </w:p>
        </w:tc>
        <w:tc>
          <w:tcPr>
            <w:tcW w:w="1361" w:type="dxa"/>
          </w:tcPr>
          <w:p>
            <w:pPr>
              <w:pStyle w:val="0"/>
              <w:jc w:val="center"/>
            </w:pPr>
            <w:r>
              <w:rPr>
                <w:sz w:val="20"/>
              </w:rPr>
              <w:t xml:space="preserve">Чел.</w:t>
            </w:r>
          </w:p>
        </w:tc>
        <w:tc>
          <w:tcPr>
            <w:tcW w:w="1814" w:type="dxa"/>
          </w:tcPr>
          <w:p>
            <w:pPr>
              <w:pStyle w:val="0"/>
              <w:jc w:val="center"/>
            </w:pPr>
            <w:r>
              <w:rPr>
                <w:sz w:val="20"/>
              </w:rPr>
              <w:t xml:space="preserve">За период с начала 2020 года</w:t>
            </w:r>
          </w:p>
        </w:tc>
        <w:tc>
          <w:tcPr>
            <w:tcW w:w="2948" w:type="dxa"/>
          </w:tcPr>
          <w:p>
            <w:pPr>
              <w:pStyle w:val="0"/>
            </w:pPr>
            <w:r>
              <w:rPr>
                <w:sz w:val="20"/>
              </w:rPr>
              <w:t xml:space="preserve">Подсчет сложением, нарастающим итогом</w:t>
            </w:r>
          </w:p>
        </w:tc>
        <w:tc>
          <w:tcPr>
            <w:tcW w:w="1759" w:type="dxa"/>
          </w:tcPr>
          <w:p>
            <w:pPr>
              <w:pStyle w:val="0"/>
            </w:pPr>
            <w:r>
              <w:rPr>
                <w:sz w:val="20"/>
              </w:rPr>
              <w:t xml:space="preserve">До 31 января года, следующего за отчетным</w:t>
            </w:r>
          </w:p>
        </w:tc>
        <w:tc>
          <w:tcPr>
            <w:tcW w:w="1744" w:type="dxa"/>
          </w:tcPr>
          <w:p>
            <w:pPr>
              <w:pStyle w:val="0"/>
            </w:pPr>
            <w:r>
              <w:rPr>
                <w:sz w:val="20"/>
              </w:rPr>
              <w:t xml:space="preserve">Комитет по культуре и туризму Ленинградской области</w:t>
            </w:r>
          </w:p>
        </w:tc>
        <w:tc>
          <w:tcPr>
            <w:tcW w:w="1219" w:type="dxa"/>
          </w:tcPr>
          <w:p>
            <w:pPr>
              <w:pStyle w:val="0"/>
              <w:jc w:val="both"/>
            </w:pPr>
            <w:r>
              <w:rPr>
                <w:sz w:val="20"/>
              </w:rPr>
            </w:r>
          </w:p>
        </w:tc>
      </w:tr>
    </w:tbl>
    <w:p>
      <w:pPr>
        <w:pStyle w:val="0"/>
        <w:jc w:val="both"/>
      </w:pPr>
      <w:r>
        <w:rPr>
          <w:sz w:val="20"/>
        </w:rPr>
      </w:r>
    </w:p>
    <w:p>
      <w:pPr>
        <w:pStyle w:val="0"/>
        <w:outlineLvl w:val="2"/>
        <w:jc w:val="right"/>
      </w:pPr>
      <w:r>
        <w:rPr>
          <w:sz w:val="20"/>
        </w:rPr>
        <w:t xml:space="preserve">Таблица 3</w:t>
      </w:r>
    </w:p>
    <w:p>
      <w:pPr>
        <w:pStyle w:val="0"/>
      </w:pPr>
      <w:r>
        <w:rPr>
          <w:sz w:val="20"/>
        </w:rPr>
      </w:r>
    </w:p>
    <w:p>
      <w:pPr>
        <w:pStyle w:val="2"/>
        <w:jc w:val="center"/>
      </w:pPr>
      <w:r>
        <w:rPr>
          <w:sz w:val="20"/>
        </w:rPr>
        <w:t xml:space="preserve">ПЛАН</w:t>
      </w:r>
    </w:p>
    <w:p>
      <w:pPr>
        <w:pStyle w:val="2"/>
        <w:jc w:val="center"/>
      </w:pPr>
      <w:r>
        <w:rPr>
          <w:sz w:val="20"/>
        </w:rPr>
        <w:t xml:space="preserve">реализации государственной программы Ленинградской области</w:t>
      </w:r>
    </w:p>
    <w:p>
      <w:pPr>
        <w:pStyle w:val="2"/>
        <w:jc w:val="center"/>
      </w:pPr>
      <w:r>
        <w:rPr>
          <w:sz w:val="20"/>
        </w:rPr>
        <w:t xml:space="preserve">"Развитие внутреннего и въездного туризма</w:t>
      </w:r>
    </w:p>
    <w:p>
      <w:pPr>
        <w:pStyle w:val="2"/>
        <w:jc w:val="center"/>
      </w:pPr>
      <w:r>
        <w:rPr>
          <w:sz w:val="20"/>
        </w:rPr>
        <w:t xml:space="preserve">в Ленинградской области"</w:t>
      </w:r>
    </w:p>
    <w:p>
      <w:pPr>
        <w:pStyle w:val="0"/>
        <w:jc w:val="center"/>
      </w:pPr>
      <w:r>
        <w:rPr>
          <w:sz w:val="20"/>
        </w:rPr>
        <w:t xml:space="preserve">(в ред. </w:t>
      </w:r>
      <w:hyperlink w:history="0" r:id="rId70"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30.12.2022 N 1013)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164"/>
        <w:gridCol w:w="1312"/>
        <w:gridCol w:w="1191"/>
        <w:gridCol w:w="1304"/>
        <w:gridCol w:w="1192"/>
        <w:gridCol w:w="1084"/>
        <w:gridCol w:w="1228"/>
      </w:tblGrid>
      <w:tr>
        <w:tc>
          <w:tcPr>
            <w:tcW w:w="2551" w:type="dxa"/>
            <w:vMerge w:val="restart"/>
          </w:tcPr>
          <w:p>
            <w:pPr>
              <w:pStyle w:val="0"/>
              <w:jc w:val="center"/>
            </w:pPr>
            <w:r>
              <w:rPr>
                <w:sz w:val="20"/>
              </w:rPr>
              <w:t xml:space="preserve">Наименование государственной программы, подпрограммы государственной программы, структурного элемента</w:t>
            </w:r>
          </w:p>
        </w:tc>
        <w:tc>
          <w:tcPr>
            <w:tcW w:w="2164" w:type="dxa"/>
            <w:vMerge w:val="restart"/>
          </w:tcPr>
          <w:p>
            <w:pPr>
              <w:pStyle w:val="0"/>
              <w:jc w:val="center"/>
            </w:pPr>
            <w:r>
              <w:rPr>
                <w:sz w:val="20"/>
              </w:rPr>
              <w:t xml:space="preserve">Ответственный исполнитель, соисполнитель, участник</w:t>
            </w:r>
          </w:p>
        </w:tc>
        <w:tc>
          <w:tcPr>
            <w:tcW w:w="1312" w:type="dxa"/>
            <w:vMerge w:val="restart"/>
          </w:tcPr>
          <w:p>
            <w:pPr>
              <w:pStyle w:val="0"/>
              <w:jc w:val="center"/>
            </w:pPr>
            <w:r>
              <w:rPr>
                <w:sz w:val="20"/>
              </w:rPr>
              <w:t xml:space="preserve">Годы реализации</w:t>
            </w:r>
          </w:p>
        </w:tc>
        <w:tc>
          <w:tcPr>
            <w:gridSpan w:val="5"/>
            <w:tcW w:w="5999" w:type="dxa"/>
          </w:tcPr>
          <w:p>
            <w:pPr>
              <w:pStyle w:val="0"/>
              <w:jc w:val="center"/>
            </w:pPr>
            <w:r>
              <w:rPr>
                <w:sz w:val="20"/>
              </w:rPr>
              <w:t xml:space="preserve">Оценка расходов (тыс. руб., в ценах соответствующих лет)</w:t>
            </w:r>
          </w:p>
        </w:tc>
      </w:tr>
      <w:tr>
        <w:tc>
          <w:tcPr>
            <w:vMerge w:val="continue"/>
          </w:tcPr>
          <w:p/>
        </w:tc>
        <w:tc>
          <w:tcPr>
            <w:vMerge w:val="continue"/>
          </w:tcPr>
          <w:p/>
        </w:tc>
        <w:tc>
          <w:tcPr>
            <w:vMerge w:val="continue"/>
          </w:tcPr>
          <w:p/>
        </w:tc>
        <w:tc>
          <w:tcPr>
            <w:tcW w:w="1191" w:type="dxa"/>
          </w:tcPr>
          <w:p>
            <w:pPr>
              <w:pStyle w:val="0"/>
              <w:jc w:val="center"/>
            </w:pPr>
            <w:r>
              <w:rPr>
                <w:sz w:val="20"/>
              </w:rPr>
              <w:t xml:space="preserve">всего</w:t>
            </w:r>
          </w:p>
        </w:tc>
        <w:tc>
          <w:tcPr>
            <w:tcW w:w="1304" w:type="dxa"/>
          </w:tcPr>
          <w:p>
            <w:pPr>
              <w:pStyle w:val="0"/>
              <w:jc w:val="center"/>
            </w:pPr>
            <w:r>
              <w:rPr>
                <w:sz w:val="20"/>
              </w:rPr>
              <w:t xml:space="preserve">федеральный бюджет</w:t>
            </w:r>
          </w:p>
        </w:tc>
        <w:tc>
          <w:tcPr>
            <w:tcW w:w="1192" w:type="dxa"/>
          </w:tcPr>
          <w:p>
            <w:pPr>
              <w:pStyle w:val="0"/>
              <w:jc w:val="center"/>
            </w:pPr>
            <w:r>
              <w:rPr>
                <w:sz w:val="20"/>
              </w:rPr>
              <w:t xml:space="preserve">областной бюджет</w:t>
            </w:r>
          </w:p>
        </w:tc>
        <w:tc>
          <w:tcPr>
            <w:tcW w:w="1084" w:type="dxa"/>
          </w:tcPr>
          <w:p>
            <w:pPr>
              <w:pStyle w:val="0"/>
              <w:jc w:val="center"/>
            </w:pPr>
            <w:r>
              <w:rPr>
                <w:sz w:val="20"/>
              </w:rPr>
              <w:t xml:space="preserve">местные бюджеты</w:t>
            </w:r>
          </w:p>
        </w:tc>
        <w:tc>
          <w:tcPr>
            <w:tcW w:w="1228" w:type="dxa"/>
          </w:tcPr>
          <w:p>
            <w:pPr>
              <w:pStyle w:val="0"/>
              <w:jc w:val="center"/>
            </w:pPr>
            <w:r>
              <w:rPr>
                <w:sz w:val="20"/>
              </w:rPr>
              <w:t xml:space="preserve">прочие источники</w:t>
            </w:r>
          </w:p>
        </w:tc>
      </w:tr>
      <w:tr>
        <w:tc>
          <w:tcPr>
            <w:tcW w:w="2551" w:type="dxa"/>
          </w:tcPr>
          <w:p>
            <w:pPr>
              <w:pStyle w:val="0"/>
              <w:jc w:val="center"/>
            </w:pPr>
            <w:r>
              <w:rPr>
                <w:sz w:val="20"/>
              </w:rPr>
              <w:t xml:space="preserve">1</w:t>
            </w:r>
          </w:p>
        </w:tc>
        <w:tc>
          <w:tcPr>
            <w:tcW w:w="2164" w:type="dxa"/>
          </w:tcPr>
          <w:p>
            <w:pPr>
              <w:pStyle w:val="0"/>
              <w:jc w:val="center"/>
            </w:pPr>
            <w:r>
              <w:rPr>
                <w:sz w:val="20"/>
              </w:rPr>
              <w:t xml:space="preserve">2</w:t>
            </w:r>
          </w:p>
        </w:tc>
        <w:tc>
          <w:tcPr>
            <w:tcW w:w="1312" w:type="dxa"/>
          </w:tcPr>
          <w:p>
            <w:pPr>
              <w:pStyle w:val="0"/>
              <w:jc w:val="center"/>
            </w:pPr>
            <w:r>
              <w:rPr>
                <w:sz w:val="20"/>
              </w:rPr>
              <w:t xml:space="preserve">3</w:t>
            </w:r>
          </w:p>
        </w:tc>
        <w:tc>
          <w:tcPr>
            <w:tcW w:w="1191" w:type="dxa"/>
          </w:tcPr>
          <w:p>
            <w:pPr>
              <w:pStyle w:val="0"/>
              <w:jc w:val="center"/>
            </w:pPr>
            <w:r>
              <w:rPr>
                <w:sz w:val="20"/>
              </w:rPr>
              <w:t xml:space="preserve">4</w:t>
            </w:r>
          </w:p>
        </w:tc>
        <w:tc>
          <w:tcPr>
            <w:tcW w:w="1304" w:type="dxa"/>
          </w:tcPr>
          <w:p>
            <w:pPr>
              <w:pStyle w:val="0"/>
              <w:jc w:val="center"/>
            </w:pPr>
            <w:r>
              <w:rPr>
                <w:sz w:val="20"/>
              </w:rPr>
              <w:t xml:space="preserve">5</w:t>
            </w:r>
          </w:p>
        </w:tc>
        <w:tc>
          <w:tcPr>
            <w:tcW w:w="1192" w:type="dxa"/>
          </w:tcPr>
          <w:p>
            <w:pPr>
              <w:pStyle w:val="0"/>
              <w:jc w:val="center"/>
            </w:pPr>
            <w:r>
              <w:rPr>
                <w:sz w:val="20"/>
              </w:rPr>
              <w:t xml:space="preserve">6</w:t>
            </w:r>
          </w:p>
        </w:tc>
        <w:tc>
          <w:tcPr>
            <w:tcW w:w="1084" w:type="dxa"/>
          </w:tcPr>
          <w:p>
            <w:pPr>
              <w:pStyle w:val="0"/>
              <w:jc w:val="center"/>
            </w:pPr>
            <w:r>
              <w:rPr>
                <w:sz w:val="20"/>
              </w:rPr>
              <w:t xml:space="preserve">7</w:t>
            </w:r>
          </w:p>
        </w:tc>
        <w:tc>
          <w:tcPr>
            <w:tcW w:w="1228" w:type="dxa"/>
          </w:tcPr>
          <w:p>
            <w:pPr>
              <w:pStyle w:val="0"/>
              <w:jc w:val="center"/>
            </w:pPr>
            <w:r>
              <w:rPr>
                <w:sz w:val="20"/>
              </w:rPr>
              <w:t xml:space="preserve">8</w:t>
            </w:r>
          </w:p>
        </w:tc>
      </w:tr>
      <w:tr>
        <w:tc>
          <w:tcPr>
            <w:tcW w:w="2551" w:type="dxa"/>
            <w:vMerge w:val="restart"/>
          </w:tcPr>
          <w:p>
            <w:pPr>
              <w:pStyle w:val="0"/>
            </w:pPr>
            <w:r>
              <w:rPr>
                <w:sz w:val="20"/>
              </w:rPr>
              <w:t xml:space="preserve">Государственная программа Ленинградской области "Развитие внутреннего и въездного туризма в Ленинградской области"</w:t>
            </w:r>
          </w:p>
        </w:tc>
        <w:tc>
          <w:tcPr>
            <w:tcW w:w="2164" w:type="dxa"/>
            <w:vMerge w:val="restart"/>
          </w:tcPr>
          <w:p>
            <w:pPr>
              <w:pStyle w:val="0"/>
            </w:pPr>
            <w:r>
              <w:rPr>
                <w:sz w:val="20"/>
              </w:rPr>
              <w:t xml:space="preserve">Комитет по культуре и туризму Ленинградской области (далее - 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213624,7</w:t>
            </w:r>
          </w:p>
        </w:tc>
        <w:tc>
          <w:tcPr>
            <w:tcW w:w="1304" w:type="dxa"/>
          </w:tcPr>
          <w:p>
            <w:pPr>
              <w:pStyle w:val="0"/>
              <w:jc w:val="center"/>
            </w:pPr>
            <w:r>
              <w:rPr>
                <w:sz w:val="20"/>
              </w:rPr>
              <w:t xml:space="preserve">18859,7</w:t>
            </w:r>
          </w:p>
        </w:tc>
        <w:tc>
          <w:tcPr>
            <w:tcW w:w="1192" w:type="dxa"/>
          </w:tcPr>
          <w:p>
            <w:pPr>
              <w:pStyle w:val="0"/>
              <w:jc w:val="center"/>
            </w:pPr>
            <w:r>
              <w:rPr>
                <w:sz w:val="20"/>
              </w:rPr>
              <w:t xml:space="preserve">184287,0</w:t>
            </w:r>
          </w:p>
        </w:tc>
        <w:tc>
          <w:tcPr>
            <w:tcW w:w="1084" w:type="dxa"/>
          </w:tcPr>
          <w:p>
            <w:pPr>
              <w:pStyle w:val="0"/>
              <w:jc w:val="center"/>
            </w:pPr>
            <w:r>
              <w:rPr>
                <w:sz w:val="20"/>
              </w:rPr>
              <w:t xml:space="preserve">10478,0</w:t>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2023</w:t>
            </w:r>
          </w:p>
        </w:tc>
        <w:tc>
          <w:tcPr>
            <w:tcW w:w="1191" w:type="dxa"/>
          </w:tcPr>
          <w:p>
            <w:pPr>
              <w:pStyle w:val="0"/>
              <w:jc w:val="center"/>
            </w:pPr>
            <w:r>
              <w:rPr>
                <w:sz w:val="20"/>
              </w:rPr>
              <w:t xml:space="preserve">450777,0</w:t>
            </w:r>
          </w:p>
        </w:tc>
        <w:tc>
          <w:tcPr>
            <w:tcW w:w="1304" w:type="dxa"/>
          </w:tcPr>
          <w:p>
            <w:pPr>
              <w:pStyle w:val="0"/>
              <w:jc w:val="center"/>
            </w:pPr>
            <w:r>
              <w:rPr>
                <w:sz w:val="20"/>
              </w:rPr>
              <w:t xml:space="preserve">185812,6</w:t>
            </w:r>
          </w:p>
        </w:tc>
        <w:tc>
          <w:tcPr>
            <w:tcW w:w="1192" w:type="dxa"/>
          </w:tcPr>
          <w:p>
            <w:pPr>
              <w:pStyle w:val="0"/>
              <w:jc w:val="center"/>
            </w:pPr>
            <w:r>
              <w:rPr>
                <w:sz w:val="20"/>
              </w:rPr>
              <w:t xml:space="preserve">262186,6</w:t>
            </w:r>
          </w:p>
        </w:tc>
        <w:tc>
          <w:tcPr>
            <w:tcW w:w="1084" w:type="dxa"/>
          </w:tcPr>
          <w:p>
            <w:pPr>
              <w:pStyle w:val="0"/>
              <w:jc w:val="center"/>
            </w:pPr>
            <w:r>
              <w:rPr>
                <w:sz w:val="20"/>
              </w:rPr>
              <w:t xml:space="preserve">2777,8</w:t>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2024</w:t>
            </w:r>
          </w:p>
        </w:tc>
        <w:tc>
          <w:tcPr>
            <w:tcW w:w="1191" w:type="dxa"/>
          </w:tcPr>
          <w:p>
            <w:pPr>
              <w:pStyle w:val="0"/>
              <w:jc w:val="center"/>
            </w:pPr>
            <w:r>
              <w:rPr>
                <w:sz w:val="20"/>
              </w:rPr>
              <w:t xml:space="preserve">161955,9</w:t>
            </w:r>
          </w:p>
        </w:tc>
        <w:tc>
          <w:tcPr>
            <w:tcW w:w="1304" w:type="dxa"/>
          </w:tcPr>
          <w:p>
            <w:pPr>
              <w:pStyle w:val="0"/>
              <w:jc w:val="center"/>
            </w:pPr>
            <w:r>
              <w:rPr>
                <w:sz w:val="20"/>
              </w:rPr>
              <w:t xml:space="preserve">15343,3</w:t>
            </w:r>
          </w:p>
        </w:tc>
        <w:tc>
          <w:tcPr>
            <w:tcW w:w="1192" w:type="dxa"/>
          </w:tcPr>
          <w:p>
            <w:pPr>
              <w:pStyle w:val="0"/>
              <w:jc w:val="center"/>
            </w:pPr>
            <w:r>
              <w:rPr>
                <w:sz w:val="20"/>
              </w:rPr>
              <w:t xml:space="preserve">146612,6</w:t>
            </w:r>
          </w:p>
        </w:tc>
        <w:tc>
          <w:tcPr>
            <w:tcW w:w="1084" w:type="dxa"/>
          </w:tcPr>
          <w:p>
            <w:pPr>
              <w:pStyle w:val="0"/>
              <w:jc w:val="center"/>
            </w:pPr>
            <w:r>
              <w:rPr>
                <w:sz w:val="20"/>
              </w:rPr>
              <w:t xml:space="preserve">0,0</w:t>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2025</w:t>
            </w:r>
          </w:p>
        </w:tc>
        <w:tc>
          <w:tcPr>
            <w:tcW w:w="1191" w:type="dxa"/>
          </w:tcPr>
          <w:p>
            <w:pPr>
              <w:pStyle w:val="0"/>
              <w:jc w:val="center"/>
            </w:pPr>
            <w:r>
              <w:rPr>
                <w:sz w:val="20"/>
              </w:rPr>
              <w:t xml:space="preserve">139012,6</w:t>
            </w:r>
          </w:p>
        </w:tc>
        <w:tc>
          <w:tcPr>
            <w:tcW w:w="1304" w:type="dxa"/>
          </w:tcPr>
          <w:p>
            <w:pPr>
              <w:pStyle w:val="0"/>
              <w:jc w:val="center"/>
            </w:pPr>
            <w:r>
              <w:rPr>
                <w:sz w:val="20"/>
              </w:rPr>
              <w:t xml:space="preserve">0,0</w:t>
            </w:r>
          </w:p>
        </w:tc>
        <w:tc>
          <w:tcPr>
            <w:tcW w:w="1192" w:type="dxa"/>
          </w:tcPr>
          <w:p>
            <w:pPr>
              <w:pStyle w:val="0"/>
              <w:jc w:val="center"/>
            </w:pPr>
            <w:r>
              <w:rPr>
                <w:sz w:val="20"/>
              </w:rPr>
              <w:t xml:space="preserve">139012,6</w:t>
            </w:r>
          </w:p>
        </w:tc>
        <w:tc>
          <w:tcPr>
            <w:tcW w:w="1084" w:type="dxa"/>
          </w:tcPr>
          <w:p>
            <w:pPr>
              <w:pStyle w:val="0"/>
              <w:jc w:val="center"/>
            </w:pPr>
            <w:r>
              <w:rPr>
                <w:sz w:val="20"/>
              </w:rPr>
              <w:t xml:space="preserve">0,0</w:t>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r>
          </w:p>
        </w:tc>
        <w:tc>
          <w:tcPr>
            <w:tcW w:w="1191" w:type="dxa"/>
          </w:tcPr>
          <w:p>
            <w:pPr>
              <w:pStyle w:val="0"/>
              <w:jc w:val="center"/>
            </w:pPr>
            <w:r>
              <w:rPr>
                <w:sz w:val="20"/>
              </w:rPr>
            </w:r>
          </w:p>
        </w:tc>
        <w:tc>
          <w:tcPr>
            <w:tcW w:w="1304" w:type="dxa"/>
          </w:tcPr>
          <w:p>
            <w:pPr>
              <w:pStyle w:val="0"/>
              <w:jc w:val="center"/>
            </w:pPr>
            <w:r>
              <w:rPr>
                <w:sz w:val="20"/>
              </w:rPr>
            </w:r>
          </w:p>
        </w:tc>
        <w:tc>
          <w:tcPr>
            <w:tcW w:w="1192" w:type="dxa"/>
          </w:tcPr>
          <w:p>
            <w:pPr>
              <w:pStyle w:val="0"/>
              <w:jc w:val="center"/>
            </w:pPr>
            <w:r>
              <w:rPr>
                <w:sz w:val="20"/>
              </w:rPr>
            </w:r>
          </w:p>
        </w:tc>
        <w:tc>
          <w:tcPr>
            <w:tcW w:w="1084" w:type="dxa"/>
          </w:tcPr>
          <w:p>
            <w:pPr>
              <w:pStyle w:val="0"/>
              <w:jc w:val="center"/>
            </w:pPr>
            <w:r>
              <w:rPr>
                <w:sz w:val="20"/>
              </w:rPr>
            </w:r>
          </w:p>
        </w:tc>
        <w:tc>
          <w:tcPr>
            <w:tcW w:w="1228" w:type="dxa"/>
          </w:tcPr>
          <w:p>
            <w:pPr>
              <w:pStyle w:val="0"/>
              <w:jc w:val="center"/>
            </w:pPr>
            <w:r>
              <w:rPr>
                <w:sz w:val="20"/>
              </w:rPr>
            </w:r>
          </w:p>
        </w:tc>
      </w:tr>
      <w:tr>
        <w:tblPrEx>
          <w:tblBorders>
            <w:insideH w:val="nil"/>
          </w:tblBorders>
        </w:tblPrEx>
        <w:tc>
          <w:tcPr>
            <w:tcW w:w="2551" w:type="dxa"/>
            <w:tcBorders>
              <w:bottom w:val="nil"/>
            </w:tcBorders>
          </w:tcPr>
          <w:p>
            <w:pPr>
              <w:pStyle w:val="0"/>
            </w:pPr>
            <w:r>
              <w:rPr>
                <w:sz w:val="20"/>
              </w:rPr>
              <w:t xml:space="preserve">Итого</w:t>
            </w:r>
          </w:p>
        </w:tc>
        <w:tc>
          <w:tcPr>
            <w:tcW w:w="2164" w:type="dxa"/>
            <w:tcBorders>
              <w:bottom w:val="nil"/>
            </w:tcBorders>
          </w:tcPr>
          <w:p>
            <w:pPr>
              <w:pStyle w:val="0"/>
            </w:pPr>
            <w:r>
              <w:rPr>
                <w:sz w:val="20"/>
              </w:rPr>
            </w:r>
          </w:p>
        </w:tc>
        <w:tc>
          <w:tcPr>
            <w:tcW w:w="1312" w:type="dxa"/>
            <w:tcBorders>
              <w:bottom w:val="nil"/>
            </w:tcBorders>
          </w:tcPr>
          <w:p>
            <w:pPr>
              <w:pStyle w:val="0"/>
              <w:jc w:val="center"/>
            </w:pPr>
            <w:r>
              <w:rPr>
                <w:sz w:val="20"/>
              </w:rPr>
              <w:t xml:space="preserve">2022-2025</w:t>
            </w:r>
          </w:p>
        </w:tc>
        <w:tc>
          <w:tcPr>
            <w:tcW w:w="1191" w:type="dxa"/>
            <w:tcBorders>
              <w:bottom w:val="nil"/>
            </w:tcBorders>
          </w:tcPr>
          <w:p>
            <w:pPr>
              <w:pStyle w:val="0"/>
              <w:jc w:val="center"/>
            </w:pPr>
            <w:r>
              <w:rPr>
                <w:sz w:val="20"/>
              </w:rPr>
              <w:t xml:space="preserve">965370,2</w:t>
            </w:r>
          </w:p>
        </w:tc>
        <w:tc>
          <w:tcPr>
            <w:tcW w:w="1304" w:type="dxa"/>
            <w:tcBorders>
              <w:bottom w:val="nil"/>
            </w:tcBorders>
          </w:tcPr>
          <w:p>
            <w:pPr>
              <w:pStyle w:val="0"/>
              <w:jc w:val="center"/>
            </w:pPr>
            <w:r>
              <w:rPr>
                <w:sz w:val="20"/>
              </w:rPr>
              <w:t xml:space="preserve">220015,6</w:t>
            </w:r>
          </w:p>
        </w:tc>
        <w:tc>
          <w:tcPr>
            <w:tcW w:w="1192" w:type="dxa"/>
            <w:tcBorders>
              <w:bottom w:val="nil"/>
            </w:tcBorders>
          </w:tcPr>
          <w:p>
            <w:pPr>
              <w:pStyle w:val="0"/>
              <w:jc w:val="center"/>
            </w:pPr>
            <w:r>
              <w:rPr>
                <w:sz w:val="20"/>
              </w:rPr>
              <w:t xml:space="preserve">732098,8</w:t>
            </w:r>
          </w:p>
        </w:tc>
        <w:tc>
          <w:tcPr>
            <w:tcW w:w="1084" w:type="dxa"/>
            <w:tcBorders>
              <w:bottom w:val="nil"/>
            </w:tcBorders>
          </w:tcPr>
          <w:p>
            <w:pPr>
              <w:pStyle w:val="0"/>
              <w:jc w:val="center"/>
            </w:pPr>
            <w:r>
              <w:rPr>
                <w:sz w:val="20"/>
              </w:rPr>
              <w:t xml:space="preserve">13255,8</w:t>
            </w:r>
          </w:p>
        </w:tc>
        <w:tc>
          <w:tcPr>
            <w:tcW w:w="1228" w:type="dxa"/>
            <w:tcBorders>
              <w:bottom w:val="nil"/>
            </w:tcBorders>
          </w:tcPr>
          <w:p>
            <w:pPr>
              <w:pStyle w:val="0"/>
              <w:jc w:val="center"/>
            </w:pPr>
            <w:r>
              <w:rPr>
                <w:sz w:val="20"/>
              </w:rPr>
            </w:r>
          </w:p>
        </w:tc>
      </w:tr>
      <w:tr>
        <w:tblPrEx>
          <w:tblBorders>
            <w:insideH w:val="nil"/>
          </w:tblBorders>
        </w:tblPrEx>
        <w:tc>
          <w:tcPr>
            <w:gridSpan w:val="8"/>
            <w:tcW w:w="12026" w:type="dxa"/>
            <w:tcBorders>
              <w:top w:val="nil"/>
            </w:tcBorders>
          </w:tcPr>
          <w:p>
            <w:pPr>
              <w:pStyle w:val="0"/>
              <w:jc w:val="both"/>
            </w:pPr>
            <w:r>
              <w:rPr>
                <w:sz w:val="20"/>
              </w:rPr>
              <w:t xml:space="preserve">(в ред. </w:t>
            </w:r>
            <w:hyperlink w:history="0" r:id="rId71" w:tooltip="Постановление Правительства Ленинградской области от 24.08.2023 N 58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24.08.2023 N 585)</w:t>
            </w:r>
          </w:p>
        </w:tc>
      </w:tr>
      <w:tr>
        <w:tc>
          <w:tcPr>
            <w:gridSpan w:val="8"/>
            <w:tcW w:w="12026" w:type="dxa"/>
          </w:tcPr>
          <w:p>
            <w:pPr>
              <w:pStyle w:val="0"/>
              <w:outlineLvl w:val="3"/>
              <w:jc w:val="center"/>
            </w:pPr>
            <w:r>
              <w:rPr>
                <w:sz w:val="20"/>
              </w:rPr>
              <w:t xml:space="preserve">Проектная часть</w:t>
            </w:r>
          </w:p>
        </w:tc>
      </w:tr>
      <w:tr>
        <w:tc>
          <w:tcPr>
            <w:tcW w:w="2551" w:type="dxa"/>
            <w:vMerge w:val="restart"/>
          </w:tcPr>
          <w:p>
            <w:pPr>
              <w:pStyle w:val="0"/>
            </w:pPr>
            <w:r>
              <w:rPr>
                <w:sz w:val="20"/>
              </w:rPr>
              <w:t xml:space="preserve">Федеральный проект "Развитие туристической инфраструктуры"</w:t>
            </w:r>
          </w:p>
        </w:tc>
        <w:tc>
          <w:tcPr>
            <w:tcW w:w="2164" w:type="dxa"/>
            <w:vMerge w:val="restart"/>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2" w:type="dxa"/>
          </w:tcPr>
          <w:p>
            <w:pPr>
              <w:pStyle w:val="0"/>
              <w:jc w:val="center"/>
            </w:pPr>
            <w:r>
              <w:rPr>
                <w:sz w:val="20"/>
              </w:rPr>
              <w:t xml:space="preserve">0,0</w:t>
            </w:r>
          </w:p>
        </w:tc>
        <w:tc>
          <w:tcPr>
            <w:tcW w:w="1084" w:type="dxa"/>
          </w:tcPr>
          <w:p>
            <w:pPr>
              <w:pStyle w:val="0"/>
              <w:jc w:val="center"/>
            </w:pPr>
            <w:r>
              <w:rPr>
                <w:sz w:val="20"/>
              </w:rPr>
              <w:t xml:space="preserve">0,0</w:t>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2023</w:t>
            </w:r>
          </w:p>
        </w:tc>
        <w:tc>
          <w:tcPr>
            <w:tcW w:w="1191" w:type="dxa"/>
          </w:tcPr>
          <w:p>
            <w:pPr>
              <w:pStyle w:val="0"/>
              <w:jc w:val="center"/>
            </w:pPr>
            <w:r>
              <w:rPr>
                <w:sz w:val="20"/>
              </w:rPr>
              <w:t xml:space="preserve">230441,3</w:t>
            </w:r>
          </w:p>
        </w:tc>
        <w:tc>
          <w:tcPr>
            <w:tcW w:w="1304" w:type="dxa"/>
          </w:tcPr>
          <w:p>
            <w:pPr>
              <w:pStyle w:val="0"/>
              <w:jc w:val="center"/>
            </w:pPr>
            <w:r>
              <w:rPr>
                <w:sz w:val="20"/>
              </w:rPr>
              <w:t xml:space="preserve">154381,7</w:t>
            </w:r>
          </w:p>
        </w:tc>
        <w:tc>
          <w:tcPr>
            <w:tcW w:w="1192" w:type="dxa"/>
          </w:tcPr>
          <w:p>
            <w:pPr>
              <w:pStyle w:val="0"/>
              <w:jc w:val="center"/>
            </w:pPr>
            <w:r>
              <w:rPr>
                <w:sz w:val="20"/>
              </w:rPr>
              <w:t xml:space="preserve">76059,6</w:t>
            </w:r>
          </w:p>
        </w:tc>
        <w:tc>
          <w:tcPr>
            <w:tcW w:w="1084" w:type="dxa"/>
          </w:tcPr>
          <w:p>
            <w:pPr>
              <w:pStyle w:val="0"/>
              <w:jc w:val="center"/>
            </w:pPr>
            <w:r>
              <w:rPr>
                <w:sz w:val="20"/>
              </w:rPr>
              <w:t xml:space="preserve">0,0</w:t>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2024</w:t>
            </w:r>
          </w:p>
        </w:tc>
        <w:tc>
          <w:tcPr>
            <w:tcW w:w="1191" w:type="dxa"/>
          </w:tcPr>
          <w:p>
            <w:pPr>
              <w:pStyle w:val="0"/>
              <w:jc w:val="center"/>
            </w:pPr>
            <w:r>
              <w:rPr>
                <w:sz w:val="20"/>
              </w:rPr>
              <w:t xml:space="preserve">22943,3</w:t>
            </w:r>
          </w:p>
        </w:tc>
        <w:tc>
          <w:tcPr>
            <w:tcW w:w="1304" w:type="dxa"/>
          </w:tcPr>
          <w:p>
            <w:pPr>
              <w:pStyle w:val="0"/>
              <w:jc w:val="center"/>
            </w:pPr>
            <w:r>
              <w:rPr>
                <w:sz w:val="20"/>
              </w:rPr>
              <w:t xml:space="preserve">15343,3</w:t>
            </w:r>
          </w:p>
        </w:tc>
        <w:tc>
          <w:tcPr>
            <w:tcW w:w="1192" w:type="dxa"/>
          </w:tcPr>
          <w:p>
            <w:pPr>
              <w:pStyle w:val="0"/>
              <w:jc w:val="center"/>
            </w:pPr>
            <w:r>
              <w:rPr>
                <w:sz w:val="20"/>
              </w:rPr>
              <w:t xml:space="preserve">7600,0</w:t>
            </w:r>
          </w:p>
        </w:tc>
        <w:tc>
          <w:tcPr>
            <w:tcW w:w="1084" w:type="dxa"/>
          </w:tcPr>
          <w:p>
            <w:pPr>
              <w:pStyle w:val="0"/>
              <w:jc w:val="center"/>
            </w:pPr>
            <w:r>
              <w:rPr>
                <w:sz w:val="20"/>
              </w:rPr>
              <w:t xml:space="preserve">0,0</w:t>
            </w:r>
          </w:p>
        </w:tc>
        <w:tc>
          <w:tcPr>
            <w:tcW w:w="1228" w:type="dxa"/>
          </w:tcPr>
          <w:p>
            <w:pPr>
              <w:pStyle w:val="0"/>
              <w:jc w:val="center"/>
            </w:pPr>
            <w:r>
              <w:rPr>
                <w:sz w:val="20"/>
              </w:rPr>
            </w:r>
          </w:p>
        </w:tc>
      </w:tr>
      <w:tr>
        <w:tblPrEx>
          <w:tblBorders>
            <w:insideH w:val="nil"/>
          </w:tblBorders>
        </w:tblPrEx>
        <w:tc>
          <w:tcPr>
            <w:tcW w:w="2551" w:type="dxa"/>
            <w:tcBorders>
              <w:bottom w:val="nil"/>
            </w:tcBorders>
          </w:tcPr>
          <w:p>
            <w:pPr>
              <w:pStyle w:val="0"/>
            </w:pPr>
            <w:r>
              <w:rPr>
                <w:sz w:val="20"/>
              </w:rPr>
              <w:t xml:space="preserve">Итого</w:t>
            </w:r>
          </w:p>
        </w:tc>
        <w:tc>
          <w:tcPr>
            <w:tcW w:w="2164" w:type="dxa"/>
            <w:tcBorders>
              <w:bottom w:val="nil"/>
            </w:tcBorders>
          </w:tcPr>
          <w:p>
            <w:pPr>
              <w:pStyle w:val="0"/>
            </w:pPr>
            <w:r>
              <w:rPr>
                <w:sz w:val="20"/>
              </w:rPr>
            </w:r>
          </w:p>
        </w:tc>
        <w:tc>
          <w:tcPr>
            <w:tcW w:w="1312" w:type="dxa"/>
            <w:tcBorders>
              <w:bottom w:val="nil"/>
            </w:tcBorders>
          </w:tcPr>
          <w:p>
            <w:pPr>
              <w:pStyle w:val="0"/>
              <w:jc w:val="center"/>
            </w:pPr>
            <w:r>
              <w:rPr>
                <w:sz w:val="20"/>
              </w:rPr>
              <w:t xml:space="preserve">2022-2024</w:t>
            </w:r>
          </w:p>
        </w:tc>
        <w:tc>
          <w:tcPr>
            <w:tcW w:w="1191" w:type="dxa"/>
            <w:tcBorders>
              <w:bottom w:val="nil"/>
            </w:tcBorders>
          </w:tcPr>
          <w:p>
            <w:pPr>
              <w:pStyle w:val="0"/>
              <w:jc w:val="center"/>
            </w:pPr>
            <w:r>
              <w:rPr>
                <w:sz w:val="20"/>
              </w:rPr>
              <w:t xml:space="preserve">253384,6</w:t>
            </w:r>
          </w:p>
        </w:tc>
        <w:tc>
          <w:tcPr>
            <w:tcW w:w="1304" w:type="dxa"/>
            <w:tcBorders>
              <w:bottom w:val="nil"/>
            </w:tcBorders>
          </w:tcPr>
          <w:p>
            <w:pPr>
              <w:pStyle w:val="0"/>
              <w:jc w:val="center"/>
            </w:pPr>
            <w:r>
              <w:rPr>
                <w:sz w:val="20"/>
              </w:rPr>
              <w:t xml:space="preserve">169725,0</w:t>
            </w:r>
          </w:p>
        </w:tc>
        <w:tc>
          <w:tcPr>
            <w:tcW w:w="1192" w:type="dxa"/>
            <w:tcBorders>
              <w:bottom w:val="nil"/>
            </w:tcBorders>
          </w:tcPr>
          <w:p>
            <w:pPr>
              <w:pStyle w:val="0"/>
              <w:jc w:val="center"/>
            </w:pPr>
            <w:r>
              <w:rPr>
                <w:sz w:val="20"/>
              </w:rPr>
              <w:t xml:space="preserve">83659,6</w:t>
            </w:r>
          </w:p>
        </w:tc>
        <w:tc>
          <w:tcPr>
            <w:tcW w:w="1084" w:type="dxa"/>
            <w:tcBorders>
              <w:bottom w:val="nil"/>
            </w:tcBorders>
          </w:tcPr>
          <w:p>
            <w:pPr>
              <w:pStyle w:val="0"/>
              <w:jc w:val="center"/>
            </w:pPr>
            <w:r>
              <w:rPr>
                <w:sz w:val="20"/>
              </w:rPr>
              <w:t xml:space="preserve">0,0</w:t>
            </w:r>
          </w:p>
        </w:tc>
        <w:tc>
          <w:tcPr>
            <w:tcW w:w="1228" w:type="dxa"/>
            <w:tcBorders>
              <w:bottom w:val="nil"/>
            </w:tcBorders>
          </w:tcPr>
          <w:p>
            <w:pPr>
              <w:pStyle w:val="0"/>
              <w:jc w:val="center"/>
            </w:pPr>
            <w:r>
              <w:rPr>
                <w:sz w:val="20"/>
              </w:rPr>
            </w:r>
          </w:p>
        </w:tc>
      </w:tr>
      <w:tr>
        <w:tblPrEx>
          <w:tblBorders>
            <w:insideH w:val="nil"/>
          </w:tblBorders>
        </w:tblPrEx>
        <w:tc>
          <w:tcPr>
            <w:gridSpan w:val="8"/>
            <w:tcW w:w="12026" w:type="dxa"/>
            <w:tcBorders>
              <w:top w:val="nil"/>
            </w:tcBorders>
          </w:tcPr>
          <w:p>
            <w:pPr>
              <w:pStyle w:val="0"/>
              <w:jc w:val="both"/>
            </w:pPr>
            <w:r>
              <w:rPr>
                <w:sz w:val="20"/>
              </w:rPr>
              <w:t xml:space="preserve">(в ред. </w:t>
            </w:r>
            <w:hyperlink w:history="0" r:id="rId72" w:tooltip="Постановление Правительства Ленинградской области от 24.08.2023 N 58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24.08.2023 N 585)</w:t>
            </w:r>
          </w:p>
        </w:tc>
      </w:tr>
      <w:tr>
        <w:tc>
          <w:tcPr>
            <w:tcW w:w="2551" w:type="dxa"/>
            <w:vMerge w:val="restart"/>
          </w:tcPr>
          <w:p>
            <w:pPr>
              <w:pStyle w:val="0"/>
            </w:pPr>
            <w:r>
              <w:rPr>
                <w:sz w:val="20"/>
              </w:rPr>
              <w:t xml:space="preserve">Мероприятия, направленные на достижение цели федерального проекта "Развитие туристической инфраструктуры"</w:t>
            </w:r>
          </w:p>
        </w:tc>
        <w:tc>
          <w:tcPr>
            <w:tcW w:w="2164" w:type="dxa"/>
            <w:vMerge w:val="restart"/>
          </w:tcPr>
          <w:p>
            <w:pPr>
              <w:pStyle w:val="0"/>
            </w:pPr>
            <w:r>
              <w:rPr>
                <w:sz w:val="20"/>
              </w:rPr>
              <w:t xml:space="preserve">Комитет,</w:t>
            </w:r>
          </w:p>
          <w:p>
            <w:pPr>
              <w:pStyle w:val="0"/>
            </w:pPr>
            <w:r>
              <w:rPr>
                <w:sz w:val="20"/>
              </w:rPr>
              <w:t xml:space="preserve">Комитет по дорожному хозяйству Ленинградской области</w:t>
            </w:r>
          </w:p>
        </w:tc>
        <w:tc>
          <w:tcPr>
            <w:tcW w:w="1312" w:type="dxa"/>
          </w:tcPr>
          <w:p>
            <w:pPr>
              <w:pStyle w:val="0"/>
              <w:jc w:val="center"/>
            </w:pPr>
            <w:r>
              <w:rPr>
                <w:sz w:val="20"/>
              </w:rPr>
              <w:t xml:space="preserve">2022</w:t>
            </w:r>
          </w:p>
        </w:tc>
        <w:tc>
          <w:tcPr>
            <w:tcW w:w="1191" w:type="dxa"/>
          </w:tcPr>
          <w:p>
            <w:pPr>
              <w:pStyle w:val="0"/>
              <w:jc w:val="center"/>
            </w:pPr>
            <w:r>
              <w:rPr>
                <w:sz w:val="20"/>
              </w:rPr>
              <w:t xml:space="preserve">1340,0</w:t>
            </w:r>
          </w:p>
        </w:tc>
        <w:tc>
          <w:tcPr>
            <w:tcW w:w="1304" w:type="dxa"/>
          </w:tcPr>
          <w:p>
            <w:pPr>
              <w:pStyle w:val="0"/>
              <w:jc w:val="center"/>
            </w:pPr>
            <w:r>
              <w:rPr>
                <w:sz w:val="20"/>
              </w:rPr>
            </w:r>
          </w:p>
        </w:tc>
        <w:tc>
          <w:tcPr>
            <w:tcW w:w="1192" w:type="dxa"/>
          </w:tcPr>
          <w:p>
            <w:pPr>
              <w:pStyle w:val="0"/>
              <w:jc w:val="center"/>
            </w:pPr>
            <w:r>
              <w:rPr>
                <w:sz w:val="20"/>
              </w:rPr>
              <w:t xml:space="preserve">1340,0</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2023</w:t>
            </w:r>
          </w:p>
        </w:tc>
        <w:tc>
          <w:tcPr>
            <w:tcW w:w="1191" w:type="dxa"/>
          </w:tcPr>
          <w:p>
            <w:pPr>
              <w:pStyle w:val="0"/>
              <w:jc w:val="center"/>
            </w:pPr>
            <w:r>
              <w:rPr>
                <w:sz w:val="20"/>
              </w:rPr>
              <w:t xml:space="preserve">1260,0</w:t>
            </w:r>
          </w:p>
        </w:tc>
        <w:tc>
          <w:tcPr>
            <w:tcW w:w="1304" w:type="dxa"/>
          </w:tcPr>
          <w:p>
            <w:pPr>
              <w:pStyle w:val="0"/>
              <w:jc w:val="center"/>
            </w:pPr>
            <w:r>
              <w:rPr>
                <w:sz w:val="20"/>
              </w:rPr>
            </w:r>
          </w:p>
        </w:tc>
        <w:tc>
          <w:tcPr>
            <w:tcW w:w="1192" w:type="dxa"/>
          </w:tcPr>
          <w:p>
            <w:pPr>
              <w:pStyle w:val="0"/>
              <w:jc w:val="center"/>
            </w:pPr>
            <w:r>
              <w:rPr>
                <w:sz w:val="20"/>
              </w:rPr>
              <w:t xml:space="preserve">1260,0</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2024</w:t>
            </w:r>
          </w:p>
        </w:tc>
        <w:tc>
          <w:tcPr>
            <w:tcW w:w="1191" w:type="dxa"/>
          </w:tcPr>
          <w:p>
            <w:pPr>
              <w:pStyle w:val="0"/>
              <w:jc w:val="center"/>
            </w:pPr>
            <w:r>
              <w:rPr>
                <w:sz w:val="20"/>
              </w:rPr>
              <w:t xml:space="preserve">1260,0</w:t>
            </w:r>
          </w:p>
        </w:tc>
        <w:tc>
          <w:tcPr>
            <w:tcW w:w="1304" w:type="dxa"/>
          </w:tcPr>
          <w:p>
            <w:pPr>
              <w:pStyle w:val="0"/>
              <w:jc w:val="center"/>
            </w:pPr>
            <w:r>
              <w:rPr>
                <w:sz w:val="20"/>
              </w:rPr>
            </w:r>
          </w:p>
        </w:tc>
        <w:tc>
          <w:tcPr>
            <w:tcW w:w="1192" w:type="dxa"/>
          </w:tcPr>
          <w:p>
            <w:pPr>
              <w:pStyle w:val="0"/>
              <w:jc w:val="center"/>
            </w:pPr>
            <w:r>
              <w:rPr>
                <w:sz w:val="20"/>
              </w:rPr>
              <w:t xml:space="preserve">1260,0</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2025</w:t>
            </w:r>
          </w:p>
        </w:tc>
        <w:tc>
          <w:tcPr>
            <w:tcW w:w="1191" w:type="dxa"/>
          </w:tcPr>
          <w:p>
            <w:pPr>
              <w:pStyle w:val="0"/>
              <w:jc w:val="center"/>
            </w:pPr>
            <w:r>
              <w:rPr>
                <w:sz w:val="20"/>
              </w:rPr>
              <w:t xml:space="preserve">1260,0</w:t>
            </w:r>
          </w:p>
        </w:tc>
        <w:tc>
          <w:tcPr>
            <w:tcW w:w="1304" w:type="dxa"/>
          </w:tcPr>
          <w:p>
            <w:pPr>
              <w:pStyle w:val="0"/>
              <w:jc w:val="center"/>
            </w:pPr>
            <w:r>
              <w:rPr>
                <w:sz w:val="20"/>
              </w:rPr>
            </w:r>
          </w:p>
        </w:tc>
        <w:tc>
          <w:tcPr>
            <w:tcW w:w="1192" w:type="dxa"/>
          </w:tcPr>
          <w:p>
            <w:pPr>
              <w:pStyle w:val="0"/>
              <w:jc w:val="center"/>
            </w:pPr>
            <w:r>
              <w:rPr>
                <w:sz w:val="20"/>
              </w:rPr>
              <w:t xml:space="preserve">1260,0</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2022-2025</w:t>
            </w:r>
          </w:p>
        </w:tc>
        <w:tc>
          <w:tcPr>
            <w:tcW w:w="1191" w:type="dxa"/>
          </w:tcPr>
          <w:p>
            <w:pPr>
              <w:pStyle w:val="0"/>
              <w:jc w:val="center"/>
            </w:pPr>
            <w:r>
              <w:rPr>
                <w:sz w:val="20"/>
              </w:rPr>
              <w:t xml:space="preserve">5120,0</w:t>
            </w:r>
          </w:p>
        </w:tc>
        <w:tc>
          <w:tcPr>
            <w:tcW w:w="1304" w:type="dxa"/>
          </w:tcPr>
          <w:p>
            <w:pPr>
              <w:pStyle w:val="0"/>
              <w:jc w:val="center"/>
            </w:pPr>
            <w:r>
              <w:rPr>
                <w:sz w:val="20"/>
              </w:rPr>
            </w:r>
          </w:p>
        </w:tc>
        <w:tc>
          <w:tcPr>
            <w:tcW w:w="1192" w:type="dxa"/>
          </w:tcPr>
          <w:p>
            <w:pPr>
              <w:pStyle w:val="0"/>
              <w:jc w:val="center"/>
            </w:pPr>
            <w:r>
              <w:rPr>
                <w:sz w:val="20"/>
              </w:rPr>
              <w:t xml:space="preserve">5120,0</w:t>
            </w:r>
          </w:p>
        </w:tc>
        <w:tc>
          <w:tcPr>
            <w:tcW w:w="1084" w:type="dxa"/>
          </w:tcPr>
          <w:p>
            <w:pPr>
              <w:pStyle w:val="0"/>
              <w:jc w:val="center"/>
            </w:pPr>
            <w:r>
              <w:rPr>
                <w:sz w:val="20"/>
              </w:rPr>
            </w:r>
          </w:p>
        </w:tc>
        <w:tc>
          <w:tcPr>
            <w:tcW w:w="1228" w:type="dxa"/>
          </w:tcPr>
          <w:p>
            <w:pPr>
              <w:pStyle w:val="0"/>
              <w:jc w:val="center"/>
            </w:pPr>
            <w:r>
              <w:rPr>
                <w:sz w:val="20"/>
              </w:rPr>
            </w:r>
          </w:p>
        </w:tc>
      </w:tr>
      <w:tr>
        <w:tc>
          <w:tcPr>
            <w:tcW w:w="2551" w:type="dxa"/>
            <w:vMerge w:val="restart"/>
          </w:tcPr>
          <w:p>
            <w:pPr>
              <w:pStyle w:val="0"/>
            </w:pPr>
            <w:r>
              <w:rPr>
                <w:sz w:val="20"/>
              </w:rPr>
              <w:t xml:space="preserve">Федеральный проект "Повышение доступности туристических продуктов"</w:t>
            </w:r>
          </w:p>
        </w:tc>
        <w:tc>
          <w:tcPr>
            <w:tcW w:w="2164" w:type="dxa"/>
            <w:vMerge w:val="restart"/>
          </w:tcPr>
          <w:p>
            <w:pPr>
              <w:pStyle w:val="0"/>
            </w:pPr>
            <w:r>
              <w:rPr>
                <w:sz w:val="20"/>
              </w:rPr>
              <w:t xml:space="preserve">Комитет, комитет общего и профессионального образования Ленинградской области</w:t>
            </w:r>
          </w:p>
        </w:tc>
        <w:tc>
          <w:tcPr>
            <w:tcW w:w="1312" w:type="dxa"/>
          </w:tcPr>
          <w:p>
            <w:pPr>
              <w:pStyle w:val="0"/>
              <w:jc w:val="center"/>
            </w:pPr>
            <w:r>
              <w:rPr>
                <w:sz w:val="20"/>
              </w:rPr>
              <w:t xml:space="preserve">2022</w:t>
            </w:r>
          </w:p>
        </w:tc>
        <w:tc>
          <w:tcPr>
            <w:tcW w:w="1191" w:type="dxa"/>
          </w:tcPr>
          <w:p>
            <w:pPr>
              <w:pStyle w:val="0"/>
              <w:jc w:val="center"/>
            </w:pPr>
            <w:r>
              <w:rPr>
                <w:sz w:val="20"/>
              </w:rPr>
              <w:t xml:space="preserve">28148,8</w:t>
            </w:r>
          </w:p>
        </w:tc>
        <w:tc>
          <w:tcPr>
            <w:tcW w:w="1304" w:type="dxa"/>
          </w:tcPr>
          <w:p>
            <w:pPr>
              <w:pStyle w:val="0"/>
              <w:jc w:val="center"/>
            </w:pPr>
            <w:r>
              <w:rPr>
                <w:sz w:val="20"/>
              </w:rPr>
              <w:t xml:space="preserve">18859,7</w:t>
            </w:r>
          </w:p>
        </w:tc>
        <w:tc>
          <w:tcPr>
            <w:tcW w:w="1192" w:type="dxa"/>
          </w:tcPr>
          <w:p>
            <w:pPr>
              <w:pStyle w:val="0"/>
              <w:jc w:val="center"/>
            </w:pPr>
            <w:r>
              <w:rPr>
                <w:sz w:val="20"/>
              </w:rPr>
              <w:t xml:space="preserve">9289,1</w:t>
            </w:r>
          </w:p>
        </w:tc>
        <w:tc>
          <w:tcPr>
            <w:tcW w:w="1084" w:type="dxa"/>
          </w:tcPr>
          <w:p>
            <w:pPr>
              <w:pStyle w:val="0"/>
              <w:jc w:val="center"/>
            </w:pPr>
            <w:r>
              <w:rPr>
                <w:sz w:val="20"/>
              </w:rPr>
              <w:t xml:space="preserve">0,0</w:t>
            </w:r>
          </w:p>
        </w:tc>
        <w:tc>
          <w:tcPr>
            <w:tcW w:w="1228" w:type="dxa"/>
          </w:tcPr>
          <w:p>
            <w:pPr>
              <w:pStyle w:val="0"/>
            </w:pPr>
            <w:r>
              <w:rPr>
                <w:sz w:val="20"/>
              </w:rPr>
            </w:r>
          </w:p>
        </w:tc>
      </w:tr>
      <w:tr>
        <w:tc>
          <w:tcPr>
            <w:vMerge w:val="continue"/>
          </w:tcPr>
          <w:p/>
        </w:tc>
        <w:tc>
          <w:tcPr>
            <w:vMerge w:val="continue"/>
          </w:tcPr>
          <w:p/>
        </w:tc>
        <w:tc>
          <w:tcPr>
            <w:tcW w:w="1312" w:type="dxa"/>
          </w:tcPr>
          <w:p>
            <w:pPr>
              <w:pStyle w:val="0"/>
              <w:jc w:val="center"/>
            </w:pPr>
            <w:r>
              <w:rPr>
                <w:sz w:val="20"/>
              </w:rPr>
              <w:t xml:space="preserve">2023</w:t>
            </w:r>
          </w:p>
        </w:tc>
        <w:tc>
          <w:tcPr>
            <w:tcW w:w="1191" w:type="dxa"/>
          </w:tcPr>
          <w:p>
            <w:pPr>
              <w:pStyle w:val="0"/>
              <w:jc w:val="center"/>
            </w:pPr>
            <w:r>
              <w:rPr>
                <w:sz w:val="20"/>
              </w:rPr>
              <w:t xml:space="preserve">49668,0</w:t>
            </w:r>
          </w:p>
        </w:tc>
        <w:tc>
          <w:tcPr>
            <w:tcW w:w="1304" w:type="dxa"/>
          </w:tcPr>
          <w:p>
            <w:pPr>
              <w:pStyle w:val="0"/>
              <w:jc w:val="center"/>
            </w:pPr>
            <w:r>
              <w:rPr>
                <w:sz w:val="20"/>
              </w:rPr>
              <w:t xml:space="preserve">31430,9</w:t>
            </w:r>
          </w:p>
        </w:tc>
        <w:tc>
          <w:tcPr>
            <w:tcW w:w="1192" w:type="dxa"/>
          </w:tcPr>
          <w:p>
            <w:pPr>
              <w:pStyle w:val="0"/>
              <w:jc w:val="center"/>
            </w:pPr>
            <w:r>
              <w:rPr>
                <w:sz w:val="20"/>
              </w:rPr>
              <w:t xml:space="preserve">18237,1</w:t>
            </w:r>
          </w:p>
        </w:tc>
        <w:tc>
          <w:tcPr>
            <w:tcW w:w="1084" w:type="dxa"/>
          </w:tcPr>
          <w:p>
            <w:pPr>
              <w:pStyle w:val="0"/>
              <w:jc w:val="center"/>
            </w:pPr>
            <w:r>
              <w:rPr>
                <w:sz w:val="20"/>
              </w:rPr>
              <w:t xml:space="preserve">0,0</w:t>
            </w:r>
          </w:p>
        </w:tc>
        <w:tc>
          <w:tcPr>
            <w:tcW w:w="1228" w:type="dxa"/>
          </w:tcPr>
          <w:p>
            <w:pPr>
              <w:pStyle w:val="0"/>
            </w:pPr>
            <w:r>
              <w:rPr>
                <w:sz w:val="20"/>
              </w:rPr>
            </w:r>
          </w:p>
        </w:tc>
      </w:tr>
      <w:tr>
        <w:tc>
          <w:tcPr>
            <w:vMerge w:val="continue"/>
          </w:tcPr>
          <w:p/>
        </w:tc>
        <w:tc>
          <w:tcPr>
            <w:vMerge w:val="continue"/>
          </w:tcPr>
          <w:p/>
        </w:tc>
        <w:tc>
          <w:tcPr>
            <w:tcW w:w="1312" w:type="dxa"/>
          </w:tcPr>
          <w:p>
            <w:pPr>
              <w:pStyle w:val="0"/>
              <w:jc w:val="center"/>
            </w:pPr>
            <w:r>
              <w:rPr>
                <w:sz w:val="20"/>
              </w:rPr>
              <w:t xml:space="preserve">2024</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2" w:type="dxa"/>
          </w:tcPr>
          <w:p>
            <w:pPr>
              <w:pStyle w:val="0"/>
              <w:jc w:val="center"/>
            </w:pPr>
            <w:r>
              <w:rPr>
                <w:sz w:val="20"/>
              </w:rPr>
              <w:t xml:space="preserve">0,0</w:t>
            </w:r>
          </w:p>
        </w:tc>
        <w:tc>
          <w:tcPr>
            <w:tcW w:w="1084" w:type="dxa"/>
          </w:tcPr>
          <w:p>
            <w:pPr>
              <w:pStyle w:val="0"/>
              <w:jc w:val="center"/>
            </w:pPr>
            <w:r>
              <w:rPr>
                <w:sz w:val="20"/>
              </w:rPr>
              <w:t xml:space="preserve">0,0</w:t>
            </w:r>
          </w:p>
        </w:tc>
        <w:tc>
          <w:tcPr>
            <w:tcW w:w="1228" w:type="dxa"/>
          </w:tcPr>
          <w:p>
            <w:pPr>
              <w:pStyle w:val="0"/>
            </w:pPr>
            <w:r>
              <w:rPr>
                <w:sz w:val="20"/>
              </w:rPr>
            </w:r>
          </w:p>
        </w:tc>
      </w:tr>
      <w:tr>
        <w:tblPrEx>
          <w:tblBorders>
            <w:insideH w:val="nil"/>
          </w:tblBorders>
        </w:tblPrEx>
        <w:tc>
          <w:tcPr>
            <w:tcW w:w="2551" w:type="dxa"/>
            <w:tcBorders>
              <w:bottom w:val="nil"/>
            </w:tcBorders>
          </w:tcPr>
          <w:p>
            <w:pPr>
              <w:pStyle w:val="0"/>
            </w:pPr>
            <w:r>
              <w:rPr>
                <w:sz w:val="20"/>
              </w:rPr>
              <w:t xml:space="preserve">Итого</w:t>
            </w:r>
          </w:p>
        </w:tc>
        <w:tc>
          <w:tcPr>
            <w:tcW w:w="2164" w:type="dxa"/>
            <w:tcBorders>
              <w:bottom w:val="nil"/>
            </w:tcBorders>
          </w:tcPr>
          <w:p>
            <w:pPr>
              <w:pStyle w:val="0"/>
            </w:pPr>
            <w:r>
              <w:rPr>
                <w:sz w:val="20"/>
              </w:rPr>
            </w:r>
          </w:p>
        </w:tc>
        <w:tc>
          <w:tcPr>
            <w:tcW w:w="1312" w:type="dxa"/>
            <w:tcBorders>
              <w:bottom w:val="nil"/>
            </w:tcBorders>
          </w:tcPr>
          <w:p>
            <w:pPr>
              <w:pStyle w:val="0"/>
              <w:jc w:val="center"/>
            </w:pPr>
            <w:r>
              <w:rPr>
                <w:sz w:val="20"/>
              </w:rPr>
              <w:t xml:space="preserve">2022-2024</w:t>
            </w:r>
          </w:p>
        </w:tc>
        <w:tc>
          <w:tcPr>
            <w:tcW w:w="1191" w:type="dxa"/>
            <w:tcBorders>
              <w:bottom w:val="nil"/>
            </w:tcBorders>
          </w:tcPr>
          <w:p>
            <w:pPr>
              <w:pStyle w:val="0"/>
              <w:jc w:val="center"/>
            </w:pPr>
            <w:r>
              <w:rPr>
                <w:sz w:val="20"/>
              </w:rPr>
              <w:t xml:space="preserve">77816,8</w:t>
            </w:r>
          </w:p>
        </w:tc>
        <w:tc>
          <w:tcPr>
            <w:tcW w:w="1304" w:type="dxa"/>
            <w:tcBorders>
              <w:bottom w:val="nil"/>
            </w:tcBorders>
          </w:tcPr>
          <w:p>
            <w:pPr>
              <w:pStyle w:val="0"/>
              <w:jc w:val="center"/>
            </w:pPr>
            <w:r>
              <w:rPr>
                <w:sz w:val="20"/>
              </w:rPr>
              <w:t xml:space="preserve">50290,6</w:t>
            </w:r>
          </w:p>
        </w:tc>
        <w:tc>
          <w:tcPr>
            <w:tcW w:w="1192" w:type="dxa"/>
            <w:tcBorders>
              <w:bottom w:val="nil"/>
            </w:tcBorders>
          </w:tcPr>
          <w:p>
            <w:pPr>
              <w:pStyle w:val="0"/>
              <w:jc w:val="center"/>
            </w:pPr>
            <w:r>
              <w:rPr>
                <w:sz w:val="20"/>
              </w:rPr>
              <w:t xml:space="preserve">27526,2</w:t>
            </w:r>
          </w:p>
        </w:tc>
        <w:tc>
          <w:tcPr>
            <w:tcW w:w="1084" w:type="dxa"/>
            <w:tcBorders>
              <w:bottom w:val="nil"/>
            </w:tcBorders>
          </w:tcPr>
          <w:p>
            <w:pPr>
              <w:pStyle w:val="0"/>
              <w:jc w:val="center"/>
            </w:pPr>
            <w:r>
              <w:rPr>
                <w:sz w:val="20"/>
              </w:rPr>
              <w:t xml:space="preserve">0,0</w:t>
            </w:r>
          </w:p>
        </w:tc>
        <w:tc>
          <w:tcPr>
            <w:tcW w:w="1228" w:type="dxa"/>
            <w:tcBorders>
              <w:bottom w:val="nil"/>
            </w:tcBorders>
          </w:tcPr>
          <w:p>
            <w:pPr>
              <w:pStyle w:val="0"/>
            </w:pPr>
            <w:r>
              <w:rPr>
                <w:sz w:val="20"/>
              </w:rPr>
            </w:r>
          </w:p>
        </w:tc>
      </w:tr>
      <w:tr>
        <w:tblPrEx>
          <w:tblBorders>
            <w:insideH w:val="nil"/>
          </w:tblBorders>
        </w:tblPrEx>
        <w:tc>
          <w:tcPr>
            <w:gridSpan w:val="8"/>
            <w:tcW w:w="12026" w:type="dxa"/>
            <w:tcBorders>
              <w:top w:val="nil"/>
            </w:tcBorders>
          </w:tcPr>
          <w:p>
            <w:pPr>
              <w:pStyle w:val="0"/>
              <w:jc w:val="both"/>
            </w:pPr>
            <w:r>
              <w:rPr>
                <w:sz w:val="20"/>
              </w:rPr>
              <w:t xml:space="preserve">(в ред. </w:t>
            </w:r>
            <w:hyperlink w:history="0" r:id="rId73" w:tooltip="Постановление Правительства Ленинградской области от 24.08.2023 N 58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24.08.2023 N 585)</w:t>
            </w:r>
          </w:p>
        </w:tc>
      </w:tr>
      <w:tr>
        <w:tc>
          <w:tcPr>
            <w:tcW w:w="2551" w:type="dxa"/>
            <w:vMerge w:val="restart"/>
          </w:tcPr>
          <w:p>
            <w:pPr>
              <w:pStyle w:val="0"/>
            </w:pPr>
            <w:r>
              <w:rPr>
                <w:sz w:val="20"/>
              </w:rPr>
              <w:t xml:space="preserve">Мероприятие, направленное на достижение цели федерального проекта "Повышение доступности туристических продуктов"</w:t>
            </w:r>
          </w:p>
        </w:tc>
        <w:tc>
          <w:tcPr>
            <w:tcW w:w="2164" w:type="dxa"/>
            <w:vMerge w:val="restart"/>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500,0</w:t>
            </w:r>
          </w:p>
        </w:tc>
        <w:tc>
          <w:tcPr>
            <w:tcW w:w="1304" w:type="dxa"/>
          </w:tcPr>
          <w:p>
            <w:pPr>
              <w:pStyle w:val="0"/>
              <w:jc w:val="center"/>
            </w:pPr>
            <w:r>
              <w:rPr>
                <w:sz w:val="20"/>
              </w:rPr>
            </w:r>
          </w:p>
        </w:tc>
        <w:tc>
          <w:tcPr>
            <w:tcW w:w="1192" w:type="dxa"/>
          </w:tcPr>
          <w:p>
            <w:pPr>
              <w:pStyle w:val="0"/>
              <w:jc w:val="center"/>
            </w:pPr>
            <w:r>
              <w:rPr>
                <w:sz w:val="20"/>
              </w:rPr>
              <w:t xml:space="preserve">500,0</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2023</w:t>
            </w:r>
          </w:p>
        </w:tc>
        <w:tc>
          <w:tcPr>
            <w:tcW w:w="1191" w:type="dxa"/>
          </w:tcPr>
          <w:p>
            <w:pPr>
              <w:pStyle w:val="0"/>
              <w:jc w:val="center"/>
            </w:pPr>
            <w:r>
              <w:rPr>
                <w:sz w:val="20"/>
              </w:rPr>
              <w:t xml:space="preserve">400,0</w:t>
            </w:r>
          </w:p>
        </w:tc>
        <w:tc>
          <w:tcPr>
            <w:tcW w:w="1304" w:type="dxa"/>
          </w:tcPr>
          <w:p>
            <w:pPr>
              <w:pStyle w:val="0"/>
              <w:jc w:val="center"/>
            </w:pPr>
            <w:r>
              <w:rPr>
                <w:sz w:val="20"/>
              </w:rPr>
            </w:r>
          </w:p>
        </w:tc>
        <w:tc>
          <w:tcPr>
            <w:tcW w:w="1192" w:type="dxa"/>
          </w:tcPr>
          <w:p>
            <w:pPr>
              <w:pStyle w:val="0"/>
              <w:jc w:val="center"/>
            </w:pPr>
            <w:r>
              <w:rPr>
                <w:sz w:val="20"/>
              </w:rPr>
              <w:t xml:space="preserve">400,0</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2024</w:t>
            </w:r>
          </w:p>
        </w:tc>
        <w:tc>
          <w:tcPr>
            <w:tcW w:w="1191" w:type="dxa"/>
          </w:tcPr>
          <w:p>
            <w:pPr>
              <w:pStyle w:val="0"/>
              <w:jc w:val="center"/>
            </w:pPr>
            <w:r>
              <w:rPr>
                <w:sz w:val="20"/>
              </w:rPr>
              <w:t xml:space="preserve">400,0</w:t>
            </w:r>
          </w:p>
        </w:tc>
        <w:tc>
          <w:tcPr>
            <w:tcW w:w="1304" w:type="dxa"/>
          </w:tcPr>
          <w:p>
            <w:pPr>
              <w:pStyle w:val="0"/>
              <w:jc w:val="center"/>
            </w:pPr>
            <w:r>
              <w:rPr>
                <w:sz w:val="20"/>
              </w:rPr>
            </w:r>
          </w:p>
        </w:tc>
        <w:tc>
          <w:tcPr>
            <w:tcW w:w="1192" w:type="dxa"/>
          </w:tcPr>
          <w:p>
            <w:pPr>
              <w:pStyle w:val="0"/>
              <w:jc w:val="center"/>
            </w:pPr>
            <w:r>
              <w:rPr>
                <w:sz w:val="20"/>
              </w:rPr>
              <w:t xml:space="preserve">400,0</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2025</w:t>
            </w:r>
          </w:p>
        </w:tc>
        <w:tc>
          <w:tcPr>
            <w:tcW w:w="1191" w:type="dxa"/>
          </w:tcPr>
          <w:p>
            <w:pPr>
              <w:pStyle w:val="0"/>
              <w:jc w:val="center"/>
            </w:pPr>
            <w:r>
              <w:rPr>
                <w:sz w:val="20"/>
              </w:rPr>
              <w:t xml:space="preserve">400,0</w:t>
            </w:r>
          </w:p>
        </w:tc>
        <w:tc>
          <w:tcPr>
            <w:tcW w:w="1304" w:type="dxa"/>
          </w:tcPr>
          <w:p>
            <w:pPr>
              <w:pStyle w:val="0"/>
              <w:jc w:val="center"/>
            </w:pPr>
            <w:r>
              <w:rPr>
                <w:sz w:val="20"/>
              </w:rPr>
            </w:r>
          </w:p>
        </w:tc>
        <w:tc>
          <w:tcPr>
            <w:tcW w:w="1192" w:type="dxa"/>
          </w:tcPr>
          <w:p>
            <w:pPr>
              <w:pStyle w:val="0"/>
              <w:jc w:val="center"/>
            </w:pPr>
            <w:r>
              <w:rPr>
                <w:sz w:val="20"/>
              </w:rPr>
              <w:t xml:space="preserve">400,0</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2022-2025</w:t>
            </w:r>
          </w:p>
        </w:tc>
        <w:tc>
          <w:tcPr>
            <w:tcW w:w="1191" w:type="dxa"/>
          </w:tcPr>
          <w:p>
            <w:pPr>
              <w:pStyle w:val="0"/>
              <w:jc w:val="center"/>
            </w:pPr>
            <w:r>
              <w:rPr>
                <w:sz w:val="20"/>
              </w:rPr>
              <w:t xml:space="preserve">1700,0</w:t>
            </w:r>
          </w:p>
        </w:tc>
        <w:tc>
          <w:tcPr>
            <w:tcW w:w="1304" w:type="dxa"/>
          </w:tcPr>
          <w:p>
            <w:pPr>
              <w:pStyle w:val="0"/>
              <w:jc w:val="center"/>
            </w:pPr>
            <w:r>
              <w:rPr>
                <w:sz w:val="20"/>
              </w:rPr>
            </w:r>
          </w:p>
        </w:tc>
        <w:tc>
          <w:tcPr>
            <w:tcW w:w="1192" w:type="dxa"/>
          </w:tcPr>
          <w:p>
            <w:pPr>
              <w:pStyle w:val="0"/>
              <w:jc w:val="center"/>
            </w:pPr>
            <w:r>
              <w:rPr>
                <w:sz w:val="20"/>
              </w:rPr>
              <w:t xml:space="preserve">1700,0</w:t>
            </w:r>
          </w:p>
        </w:tc>
        <w:tc>
          <w:tcPr>
            <w:tcW w:w="1084" w:type="dxa"/>
          </w:tcPr>
          <w:p>
            <w:pPr>
              <w:pStyle w:val="0"/>
              <w:jc w:val="center"/>
            </w:pPr>
            <w:r>
              <w:rPr>
                <w:sz w:val="20"/>
              </w:rPr>
            </w:r>
          </w:p>
        </w:tc>
        <w:tc>
          <w:tcPr>
            <w:tcW w:w="1228" w:type="dxa"/>
          </w:tcPr>
          <w:p>
            <w:pPr>
              <w:pStyle w:val="0"/>
              <w:jc w:val="center"/>
            </w:pPr>
            <w:r>
              <w:rPr>
                <w:sz w:val="20"/>
              </w:rPr>
            </w:r>
          </w:p>
        </w:tc>
      </w:tr>
      <w:tr>
        <w:tc>
          <w:tcPr>
            <w:tcW w:w="2551" w:type="dxa"/>
            <w:vMerge w:val="restart"/>
          </w:tcPr>
          <w:p>
            <w:pPr>
              <w:pStyle w:val="0"/>
            </w:pPr>
            <w:r>
              <w:rPr>
                <w:sz w:val="20"/>
              </w:rPr>
              <w:t xml:space="preserve">Мероприятия, направленные на достижение цели федерального проекта "Совершенствование управления в сфере туризма"</w:t>
            </w:r>
          </w:p>
        </w:tc>
        <w:tc>
          <w:tcPr>
            <w:tcW w:w="2164" w:type="dxa"/>
            <w:vMerge w:val="restart"/>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7123,0</w:t>
            </w:r>
          </w:p>
        </w:tc>
        <w:tc>
          <w:tcPr>
            <w:tcW w:w="1304" w:type="dxa"/>
          </w:tcPr>
          <w:p>
            <w:pPr>
              <w:pStyle w:val="0"/>
              <w:jc w:val="center"/>
            </w:pPr>
            <w:r>
              <w:rPr>
                <w:sz w:val="20"/>
              </w:rPr>
            </w:r>
          </w:p>
        </w:tc>
        <w:tc>
          <w:tcPr>
            <w:tcW w:w="1192" w:type="dxa"/>
          </w:tcPr>
          <w:p>
            <w:pPr>
              <w:pStyle w:val="0"/>
              <w:jc w:val="center"/>
            </w:pPr>
            <w:r>
              <w:rPr>
                <w:sz w:val="20"/>
              </w:rPr>
              <w:t xml:space="preserve">7123,0</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2023</w:t>
            </w:r>
          </w:p>
        </w:tc>
        <w:tc>
          <w:tcPr>
            <w:tcW w:w="1191" w:type="dxa"/>
          </w:tcPr>
          <w:p>
            <w:pPr>
              <w:pStyle w:val="0"/>
              <w:jc w:val="center"/>
            </w:pPr>
            <w:r>
              <w:rPr>
                <w:sz w:val="20"/>
              </w:rPr>
              <w:t xml:space="preserve">7630,7</w:t>
            </w:r>
          </w:p>
        </w:tc>
        <w:tc>
          <w:tcPr>
            <w:tcW w:w="1304" w:type="dxa"/>
          </w:tcPr>
          <w:p>
            <w:pPr>
              <w:pStyle w:val="0"/>
              <w:jc w:val="center"/>
            </w:pPr>
            <w:r>
              <w:rPr>
                <w:sz w:val="20"/>
              </w:rPr>
            </w:r>
          </w:p>
        </w:tc>
        <w:tc>
          <w:tcPr>
            <w:tcW w:w="1192" w:type="dxa"/>
          </w:tcPr>
          <w:p>
            <w:pPr>
              <w:pStyle w:val="0"/>
              <w:jc w:val="center"/>
            </w:pPr>
            <w:r>
              <w:rPr>
                <w:sz w:val="20"/>
              </w:rPr>
              <w:t xml:space="preserve">7630,7</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2024</w:t>
            </w:r>
          </w:p>
        </w:tc>
        <w:tc>
          <w:tcPr>
            <w:tcW w:w="1191" w:type="dxa"/>
          </w:tcPr>
          <w:p>
            <w:pPr>
              <w:pStyle w:val="0"/>
              <w:jc w:val="center"/>
            </w:pPr>
            <w:r>
              <w:rPr>
                <w:sz w:val="20"/>
              </w:rPr>
              <w:t xml:space="preserve">7630,7</w:t>
            </w:r>
          </w:p>
        </w:tc>
        <w:tc>
          <w:tcPr>
            <w:tcW w:w="1304" w:type="dxa"/>
          </w:tcPr>
          <w:p>
            <w:pPr>
              <w:pStyle w:val="0"/>
              <w:jc w:val="center"/>
            </w:pPr>
            <w:r>
              <w:rPr>
                <w:sz w:val="20"/>
              </w:rPr>
            </w:r>
          </w:p>
        </w:tc>
        <w:tc>
          <w:tcPr>
            <w:tcW w:w="1192" w:type="dxa"/>
          </w:tcPr>
          <w:p>
            <w:pPr>
              <w:pStyle w:val="0"/>
              <w:jc w:val="center"/>
            </w:pPr>
            <w:r>
              <w:rPr>
                <w:sz w:val="20"/>
              </w:rPr>
              <w:t xml:space="preserve">7630,7</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2025</w:t>
            </w:r>
          </w:p>
        </w:tc>
        <w:tc>
          <w:tcPr>
            <w:tcW w:w="1191" w:type="dxa"/>
          </w:tcPr>
          <w:p>
            <w:pPr>
              <w:pStyle w:val="0"/>
              <w:jc w:val="center"/>
            </w:pPr>
            <w:r>
              <w:rPr>
                <w:sz w:val="20"/>
              </w:rPr>
              <w:t xml:space="preserve">7630,7</w:t>
            </w:r>
          </w:p>
        </w:tc>
        <w:tc>
          <w:tcPr>
            <w:tcW w:w="1304" w:type="dxa"/>
          </w:tcPr>
          <w:p>
            <w:pPr>
              <w:pStyle w:val="0"/>
              <w:jc w:val="center"/>
            </w:pPr>
            <w:r>
              <w:rPr>
                <w:sz w:val="20"/>
              </w:rPr>
            </w:r>
          </w:p>
        </w:tc>
        <w:tc>
          <w:tcPr>
            <w:tcW w:w="1192" w:type="dxa"/>
          </w:tcPr>
          <w:p>
            <w:pPr>
              <w:pStyle w:val="0"/>
              <w:jc w:val="center"/>
            </w:pPr>
            <w:r>
              <w:rPr>
                <w:sz w:val="20"/>
              </w:rPr>
              <w:t xml:space="preserve">7630,7</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2022-2025</w:t>
            </w:r>
          </w:p>
        </w:tc>
        <w:tc>
          <w:tcPr>
            <w:tcW w:w="1191" w:type="dxa"/>
          </w:tcPr>
          <w:p>
            <w:pPr>
              <w:pStyle w:val="0"/>
              <w:jc w:val="center"/>
            </w:pPr>
            <w:r>
              <w:rPr>
                <w:sz w:val="20"/>
              </w:rPr>
              <w:t xml:space="preserve">30015,1</w:t>
            </w:r>
          </w:p>
        </w:tc>
        <w:tc>
          <w:tcPr>
            <w:tcW w:w="1304" w:type="dxa"/>
          </w:tcPr>
          <w:p>
            <w:pPr>
              <w:pStyle w:val="0"/>
              <w:jc w:val="center"/>
            </w:pPr>
            <w:r>
              <w:rPr>
                <w:sz w:val="20"/>
              </w:rPr>
            </w:r>
          </w:p>
        </w:tc>
        <w:tc>
          <w:tcPr>
            <w:tcW w:w="1192" w:type="dxa"/>
          </w:tcPr>
          <w:p>
            <w:pPr>
              <w:pStyle w:val="0"/>
              <w:jc w:val="center"/>
            </w:pPr>
            <w:r>
              <w:rPr>
                <w:sz w:val="20"/>
              </w:rPr>
              <w:t xml:space="preserve">30015,1</w:t>
            </w:r>
          </w:p>
        </w:tc>
        <w:tc>
          <w:tcPr>
            <w:tcW w:w="1084" w:type="dxa"/>
          </w:tcPr>
          <w:p>
            <w:pPr>
              <w:pStyle w:val="0"/>
              <w:jc w:val="center"/>
            </w:pPr>
            <w:r>
              <w:rPr>
                <w:sz w:val="20"/>
              </w:rPr>
            </w:r>
          </w:p>
        </w:tc>
        <w:tc>
          <w:tcPr>
            <w:tcW w:w="1228" w:type="dxa"/>
          </w:tcPr>
          <w:p>
            <w:pPr>
              <w:pStyle w:val="0"/>
              <w:jc w:val="center"/>
            </w:pPr>
            <w:r>
              <w:rPr>
                <w:sz w:val="20"/>
              </w:rPr>
            </w:r>
          </w:p>
        </w:tc>
      </w:tr>
      <w:tr>
        <w:tc>
          <w:tcPr>
            <w:tcW w:w="2551" w:type="dxa"/>
            <w:vMerge w:val="restart"/>
          </w:tcPr>
          <w:p>
            <w:pPr>
              <w:pStyle w:val="0"/>
            </w:pPr>
            <w:r>
              <w:rPr>
                <w:sz w:val="20"/>
              </w:rPr>
              <w:t xml:space="preserve">Приоритетный проект "Вело 47"</w:t>
            </w:r>
          </w:p>
        </w:tc>
        <w:tc>
          <w:tcPr>
            <w:tcW w:w="2164" w:type="dxa"/>
            <w:vMerge w:val="restart"/>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55068,1</w:t>
            </w:r>
          </w:p>
        </w:tc>
        <w:tc>
          <w:tcPr>
            <w:tcW w:w="1304" w:type="dxa"/>
          </w:tcPr>
          <w:p>
            <w:pPr>
              <w:pStyle w:val="0"/>
            </w:pPr>
            <w:r>
              <w:rPr>
                <w:sz w:val="20"/>
              </w:rPr>
            </w:r>
          </w:p>
        </w:tc>
        <w:tc>
          <w:tcPr>
            <w:tcW w:w="1192" w:type="dxa"/>
          </w:tcPr>
          <w:p>
            <w:pPr>
              <w:pStyle w:val="0"/>
              <w:jc w:val="center"/>
            </w:pPr>
            <w:r>
              <w:rPr>
                <w:sz w:val="20"/>
              </w:rPr>
              <w:t xml:space="preserve">44590,1</w:t>
            </w:r>
          </w:p>
        </w:tc>
        <w:tc>
          <w:tcPr>
            <w:tcW w:w="1084" w:type="dxa"/>
          </w:tcPr>
          <w:p>
            <w:pPr>
              <w:pStyle w:val="0"/>
              <w:jc w:val="center"/>
            </w:pPr>
            <w:r>
              <w:rPr>
                <w:sz w:val="20"/>
              </w:rPr>
              <w:t xml:space="preserve">10478,0</w:t>
            </w:r>
          </w:p>
        </w:tc>
        <w:tc>
          <w:tcPr>
            <w:tcW w:w="1228" w:type="dxa"/>
          </w:tcPr>
          <w:p>
            <w:pPr>
              <w:pStyle w:val="0"/>
            </w:pPr>
            <w:r>
              <w:rPr>
                <w:sz w:val="20"/>
              </w:rPr>
            </w:r>
          </w:p>
        </w:tc>
      </w:tr>
      <w:tr>
        <w:tc>
          <w:tcPr>
            <w:vMerge w:val="continue"/>
          </w:tcPr>
          <w:p/>
        </w:tc>
        <w:tc>
          <w:tcPr>
            <w:vMerge w:val="continue"/>
          </w:tcPr>
          <w:p/>
        </w:tc>
        <w:tc>
          <w:tcPr>
            <w:tcW w:w="1312" w:type="dxa"/>
          </w:tcPr>
          <w:p>
            <w:pPr>
              <w:pStyle w:val="0"/>
              <w:jc w:val="center"/>
            </w:pPr>
            <w:r>
              <w:rPr>
                <w:sz w:val="20"/>
              </w:rPr>
              <w:t xml:space="preserve">2023</w:t>
            </w:r>
          </w:p>
        </w:tc>
        <w:tc>
          <w:tcPr>
            <w:tcW w:w="1191" w:type="dxa"/>
          </w:tcPr>
          <w:p>
            <w:pPr>
              <w:pStyle w:val="0"/>
              <w:jc w:val="center"/>
            </w:pPr>
            <w:r>
              <w:rPr>
                <w:sz w:val="20"/>
              </w:rPr>
              <w:t xml:space="preserve">27777,8</w:t>
            </w:r>
          </w:p>
        </w:tc>
        <w:tc>
          <w:tcPr>
            <w:tcW w:w="1304" w:type="dxa"/>
          </w:tcPr>
          <w:p>
            <w:pPr>
              <w:pStyle w:val="0"/>
            </w:pPr>
            <w:r>
              <w:rPr>
                <w:sz w:val="20"/>
              </w:rPr>
            </w:r>
          </w:p>
        </w:tc>
        <w:tc>
          <w:tcPr>
            <w:tcW w:w="1192" w:type="dxa"/>
          </w:tcPr>
          <w:p>
            <w:pPr>
              <w:pStyle w:val="0"/>
              <w:jc w:val="center"/>
            </w:pPr>
            <w:r>
              <w:rPr>
                <w:sz w:val="20"/>
              </w:rPr>
              <w:t xml:space="preserve">25000,0</w:t>
            </w:r>
          </w:p>
        </w:tc>
        <w:tc>
          <w:tcPr>
            <w:tcW w:w="1084" w:type="dxa"/>
          </w:tcPr>
          <w:p>
            <w:pPr>
              <w:pStyle w:val="0"/>
              <w:jc w:val="center"/>
            </w:pPr>
            <w:r>
              <w:rPr>
                <w:sz w:val="20"/>
              </w:rPr>
              <w:t xml:space="preserve">2777,8</w:t>
            </w:r>
          </w:p>
        </w:tc>
        <w:tc>
          <w:tcPr>
            <w:tcW w:w="1228" w:type="dxa"/>
          </w:tcPr>
          <w:p>
            <w:pPr>
              <w:pStyle w:val="0"/>
            </w:pPr>
            <w:r>
              <w:rPr>
                <w:sz w:val="20"/>
              </w:rPr>
            </w:r>
          </w:p>
        </w:tc>
      </w:tr>
      <w:tr>
        <w:tc>
          <w:tcPr>
            <w:vMerge w:val="continue"/>
          </w:tcPr>
          <w:p/>
        </w:tc>
        <w:tc>
          <w:tcPr>
            <w:vMerge w:val="continue"/>
          </w:tcPr>
          <w:p/>
        </w:tc>
        <w:tc>
          <w:tcPr>
            <w:tcW w:w="1312" w:type="dxa"/>
          </w:tcPr>
          <w:p>
            <w:pPr>
              <w:pStyle w:val="0"/>
              <w:jc w:val="center"/>
            </w:pPr>
            <w:r>
              <w:rPr>
                <w:sz w:val="20"/>
              </w:rPr>
              <w:t xml:space="preserve">2024</w:t>
            </w:r>
          </w:p>
        </w:tc>
        <w:tc>
          <w:tcPr>
            <w:tcW w:w="1191" w:type="dxa"/>
          </w:tcPr>
          <w:p>
            <w:pPr>
              <w:pStyle w:val="0"/>
            </w:pPr>
            <w:r>
              <w:rPr>
                <w:sz w:val="20"/>
              </w:rPr>
            </w:r>
          </w:p>
        </w:tc>
        <w:tc>
          <w:tcPr>
            <w:tcW w:w="1304" w:type="dxa"/>
          </w:tcPr>
          <w:p>
            <w:pPr>
              <w:pStyle w:val="0"/>
            </w:pPr>
            <w:r>
              <w:rPr>
                <w:sz w:val="20"/>
              </w:rPr>
            </w:r>
          </w:p>
        </w:tc>
        <w:tc>
          <w:tcPr>
            <w:tcW w:w="1192" w:type="dxa"/>
          </w:tcPr>
          <w:p>
            <w:pPr>
              <w:pStyle w:val="0"/>
            </w:pPr>
            <w:r>
              <w:rPr>
                <w:sz w:val="20"/>
              </w:rPr>
            </w:r>
          </w:p>
        </w:tc>
        <w:tc>
          <w:tcPr>
            <w:tcW w:w="1084" w:type="dxa"/>
          </w:tcPr>
          <w:p>
            <w:pPr>
              <w:pStyle w:val="0"/>
            </w:pPr>
            <w:r>
              <w:rPr>
                <w:sz w:val="20"/>
              </w:rPr>
            </w:r>
          </w:p>
        </w:tc>
        <w:tc>
          <w:tcPr>
            <w:tcW w:w="1228" w:type="dxa"/>
          </w:tcPr>
          <w:p>
            <w:pPr>
              <w:pStyle w:val="0"/>
            </w:pPr>
            <w:r>
              <w:rPr>
                <w:sz w:val="20"/>
              </w:rPr>
            </w:r>
          </w:p>
        </w:tc>
      </w:tr>
      <w:tr>
        <w:tblPrEx>
          <w:tblBorders>
            <w:insideH w:val="nil"/>
          </w:tblBorders>
        </w:tblPrEx>
        <w:tc>
          <w:tcPr>
            <w:tcW w:w="2551" w:type="dxa"/>
            <w:tcBorders>
              <w:bottom w:val="nil"/>
            </w:tcBorders>
          </w:tcPr>
          <w:p>
            <w:pPr>
              <w:pStyle w:val="0"/>
            </w:pPr>
            <w:r>
              <w:rPr>
                <w:sz w:val="20"/>
              </w:rPr>
              <w:t xml:space="preserve">Итого</w:t>
            </w:r>
          </w:p>
        </w:tc>
        <w:tc>
          <w:tcPr>
            <w:tcW w:w="2164" w:type="dxa"/>
            <w:tcBorders>
              <w:bottom w:val="nil"/>
            </w:tcBorders>
          </w:tcPr>
          <w:p>
            <w:pPr>
              <w:pStyle w:val="0"/>
            </w:pPr>
            <w:r>
              <w:rPr>
                <w:sz w:val="20"/>
              </w:rPr>
            </w:r>
          </w:p>
        </w:tc>
        <w:tc>
          <w:tcPr>
            <w:tcW w:w="1312" w:type="dxa"/>
            <w:tcBorders>
              <w:bottom w:val="nil"/>
            </w:tcBorders>
          </w:tcPr>
          <w:p>
            <w:pPr>
              <w:pStyle w:val="0"/>
              <w:jc w:val="center"/>
            </w:pPr>
            <w:r>
              <w:rPr>
                <w:sz w:val="20"/>
              </w:rPr>
              <w:t xml:space="preserve">2022-2024</w:t>
            </w:r>
          </w:p>
        </w:tc>
        <w:tc>
          <w:tcPr>
            <w:tcW w:w="1191" w:type="dxa"/>
            <w:tcBorders>
              <w:bottom w:val="nil"/>
            </w:tcBorders>
          </w:tcPr>
          <w:p>
            <w:pPr>
              <w:pStyle w:val="0"/>
              <w:jc w:val="center"/>
            </w:pPr>
            <w:r>
              <w:rPr>
                <w:sz w:val="20"/>
              </w:rPr>
              <w:t xml:space="preserve">82845,9</w:t>
            </w:r>
          </w:p>
        </w:tc>
        <w:tc>
          <w:tcPr>
            <w:tcW w:w="1304" w:type="dxa"/>
            <w:tcBorders>
              <w:bottom w:val="nil"/>
            </w:tcBorders>
          </w:tcPr>
          <w:p>
            <w:pPr>
              <w:pStyle w:val="0"/>
            </w:pPr>
            <w:r>
              <w:rPr>
                <w:sz w:val="20"/>
              </w:rPr>
            </w:r>
          </w:p>
        </w:tc>
        <w:tc>
          <w:tcPr>
            <w:tcW w:w="1192" w:type="dxa"/>
            <w:tcBorders>
              <w:bottom w:val="nil"/>
            </w:tcBorders>
          </w:tcPr>
          <w:p>
            <w:pPr>
              <w:pStyle w:val="0"/>
              <w:jc w:val="center"/>
            </w:pPr>
            <w:r>
              <w:rPr>
                <w:sz w:val="20"/>
              </w:rPr>
              <w:t xml:space="preserve">69590,1</w:t>
            </w:r>
          </w:p>
        </w:tc>
        <w:tc>
          <w:tcPr>
            <w:tcW w:w="1084" w:type="dxa"/>
            <w:tcBorders>
              <w:bottom w:val="nil"/>
            </w:tcBorders>
          </w:tcPr>
          <w:p>
            <w:pPr>
              <w:pStyle w:val="0"/>
              <w:jc w:val="center"/>
            </w:pPr>
            <w:r>
              <w:rPr>
                <w:sz w:val="20"/>
              </w:rPr>
              <w:t xml:space="preserve">13255,8</w:t>
            </w:r>
          </w:p>
        </w:tc>
        <w:tc>
          <w:tcPr>
            <w:tcW w:w="1228" w:type="dxa"/>
            <w:tcBorders>
              <w:bottom w:val="nil"/>
            </w:tcBorders>
          </w:tcPr>
          <w:p>
            <w:pPr>
              <w:pStyle w:val="0"/>
            </w:pPr>
            <w:r>
              <w:rPr>
                <w:sz w:val="20"/>
              </w:rPr>
            </w:r>
          </w:p>
        </w:tc>
      </w:tr>
      <w:tr>
        <w:tblPrEx>
          <w:tblBorders>
            <w:insideH w:val="nil"/>
          </w:tblBorders>
        </w:tblPrEx>
        <w:tc>
          <w:tcPr>
            <w:gridSpan w:val="8"/>
            <w:tcW w:w="12026" w:type="dxa"/>
            <w:tcBorders>
              <w:top w:val="nil"/>
            </w:tcBorders>
          </w:tcPr>
          <w:p>
            <w:pPr>
              <w:pStyle w:val="0"/>
              <w:jc w:val="both"/>
            </w:pPr>
            <w:r>
              <w:rPr>
                <w:sz w:val="20"/>
              </w:rPr>
              <w:t xml:space="preserve">(в ред. </w:t>
            </w:r>
            <w:hyperlink w:history="0" r:id="rId74"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27.03.2023 N 197)</w:t>
            </w:r>
          </w:p>
        </w:tc>
      </w:tr>
      <w:tr>
        <w:tc>
          <w:tcPr>
            <w:tcW w:w="2551" w:type="dxa"/>
            <w:vMerge w:val="restart"/>
          </w:tcPr>
          <w:p>
            <w:pPr>
              <w:pStyle w:val="0"/>
            </w:pPr>
            <w:r>
              <w:rPr>
                <w:sz w:val="20"/>
              </w:rPr>
              <w:t xml:space="preserve">Приоритетный проект "Курорт 47"</w:t>
            </w:r>
          </w:p>
        </w:tc>
        <w:tc>
          <w:tcPr>
            <w:tcW w:w="2164" w:type="dxa"/>
            <w:vMerge w:val="restart"/>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r>
          </w:p>
        </w:tc>
        <w:tc>
          <w:tcPr>
            <w:tcW w:w="1304" w:type="dxa"/>
          </w:tcPr>
          <w:p>
            <w:pPr>
              <w:pStyle w:val="0"/>
              <w:jc w:val="center"/>
            </w:pPr>
            <w:r>
              <w:rPr>
                <w:sz w:val="20"/>
              </w:rPr>
            </w:r>
          </w:p>
        </w:tc>
        <w:tc>
          <w:tcPr>
            <w:tcW w:w="1192" w:type="dxa"/>
          </w:tcPr>
          <w:p>
            <w:pPr>
              <w:pStyle w:val="0"/>
              <w:jc w:val="center"/>
            </w:pPr>
            <w:r>
              <w:rPr>
                <w:sz w:val="20"/>
              </w:rPr>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2023</w:t>
            </w:r>
          </w:p>
        </w:tc>
        <w:tc>
          <w:tcPr>
            <w:tcW w:w="1191" w:type="dxa"/>
          </w:tcPr>
          <w:p>
            <w:pPr>
              <w:pStyle w:val="0"/>
              <w:jc w:val="center"/>
            </w:pPr>
            <w:r>
              <w:rPr>
                <w:sz w:val="20"/>
              </w:rPr>
            </w:r>
          </w:p>
        </w:tc>
        <w:tc>
          <w:tcPr>
            <w:tcW w:w="1304" w:type="dxa"/>
          </w:tcPr>
          <w:p>
            <w:pPr>
              <w:pStyle w:val="0"/>
              <w:jc w:val="center"/>
            </w:pPr>
            <w:r>
              <w:rPr>
                <w:sz w:val="20"/>
              </w:rPr>
            </w:r>
          </w:p>
        </w:tc>
        <w:tc>
          <w:tcPr>
            <w:tcW w:w="1192" w:type="dxa"/>
          </w:tcPr>
          <w:p>
            <w:pPr>
              <w:pStyle w:val="0"/>
              <w:jc w:val="center"/>
            </w:pPr>
            <w:r>
              <w:rPr>
                <w:sz w:val="20"/>
              </w:rPr>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2022-2023</w:t>
            </w:r>
          </w:p>
        </w:tc>
        <w:tc>
          <w:tcPr>
            <w:tcW w:w="1191" w:type="dxa"/>
          </w:tcPr>
          <w:p>
            <w:pPr>
              <w:pStyle w:val="0"/>
              <w:jc w:val="center"/>
            </w:pPr>
            <w:r>
              <w:rPr>
                <w:sz w:val="20"/>
              </w:rPr>
            </w:r>
          </w:p>
        </w:tc>
        <w:tc>
          <w:tcPr>
            <w:tcW w:w="1304" w:type="dxa"/>
          </w:tcPr>
          <w:p>
            <w:pPr>
              <w:pStyle w:val="0"/>
              <w:jc w:val="center"/>
            </w:pPr>
            <w:r>
              <w:rPr>
                <w:sz w:val="20"/>
              </w:rPr>
            </w:r>
          </w:p>
        </w:tc>
        <w:tc>
          <w:tcPr>
            <w:tcW w:w="1192" w:type="dxa"/>
          </w:tcPr>
          <w:p>
            <w:pPr>
              <w:pStyle w:val="0"/>
              <w:jc w:val="center"/>
            </w:pPr>
            <w:r>
              <w:rPr>
                <w:sz w:val="20"/>
              </w:rPr>
            </w:r>
          </w:p>
        </w:tc>
        <w:tc>
          <w:tcPr>
            <w:tcW w:w="1084" w:type="dxa"/>
          </w:tcPr>
          <w:p>
            <w:pPr>
              <w:pStyle w:val="0"/>
              <w:jc w:val="center"/>
            </w:pPr>
            <w:r>
              <w:rPr>
                <w:sz w:val="20"/>
              </w:rPr>
            </w:r>
          </w:p>
        </w:tc>
        <w:tc>
          <w:tcPr>
            <w:tcW w:w="1228" w:type="dxa"/>
          </w:tcPr>
          <w:p>
            <w:pPr>
              <w:pStyle w:val="0"/>
              <w:jc w:val="center"/>
            </w:pPr>
            <w:r>
              <w:rPr>
                <w:sz w:val="20"/>
              </w:rPr>
            </w:r>
          </w:p>
        </w:tc>
      </w:tr>
      <w:tr>
        <w:tc>
          <w:tcPr>
            <w:tcW w:w="2551" w:type="dxa"/>
            <w:vMerge w:val="restart"/>
          </w:tcPr>
          <w:p>
            <w:pPr>
              <w:pStyle w:val="0"/>
            </w:pPr>
            <w:r>
              <w:rPr>
                <w:sz w:val="20"/>
              </w:rPr>
              <w:t xml:space="preserve">Приоритетный проект "Автотуризм и малые объекты размещения"</w:t>
            </w:r>
          </w:p>
        </w:tc>
        <w:tc>
          <w:tcPr>
            <w:tcW w:w="2164" w:type="dxa"/>
            <w:vMerge w:val="restart"/>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r>
          </w:p>
        </w:tc>
        <w:tc>
          <w:tcPr>
            <w:tcW w:w="1304" w:type="dxa"/>
          </w:tcPr>
          <w:p>
            <w:pPr>
              <w:pStyle w:val="0"/>
              <w:jc w:val="center"/>
            </w:pPr>
            <w:r>
              <w:rPr>
                <w:sz w:val="20"/>
              </w:rPr>
            </w:r>
          </w:p>
        </w:tc>
        <w:tc>
          <w:tcPr>
            <w:tcW w:w="1192" w:type="dxa"/>
          </w:tcPr>
          <w:p>
            <w:pPr>
              <w:pStyle w:val="0"/>
              <w:jc w:val="center"/>
            </w:pPr>
            <w:r>
              <w:rPr>
                <w:sz w:val="20"/>
              </w:rPr>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2023</w:t>
            </w:r>
          </w:p>
        </w:tc>
        <w:tc>
          <w:tcPr>
            <w:tcW w:w="1191" w:type="dxa"/>
          </w:tcPr>
          <w:p>
            <w:pPr>
              <w:pStyle w:val="0"/>
              <w:jc w:val="center"/>
            </w:pPr>
            <w:r>
              <w:rPr>
                <w:sz w:val="20"/>
              </w:rPr>
            </w:r>
          </w:p>
        </w:tc>
        <w:tc>
          <w:tcPr>
            <w:tcW w:w="1304" w:type="dxa"/>
          </w:tcPr>
          <w:p>
            <w:pPr>
              <w:pStyle w:val="0"/>
              <w:jc w:val="center"/>
            </w:pPr>
            <w:r>
              <w:rPr>
                <w:sz w:val="20"/>
              </w:rPr>
            </w:r>
          </w:p>
        </w:tc>
        <w:tc>
          <w:tcPr>
            <w:tcW w:w="1192" w:type="dxa"/>
          </w:tcPr>
          <w:p>
            <w:pPr>
              <w:pStyle w:val="0"/>
              <w:jc w:val="center"/>
            </w:pPr>
            <w:r>
              <w:rPr>
                <w:sz w:val="20"/>
              </w:rPr>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2022-2023</w:t>
            </w:r>
          </w:p>
        </w:tc>
        <w:tc>
          <w:tcPr>
            <w:tcW w:w="1191" w:type="dxa"/>
          </w:tcPr>
          <w:p>
            <w:pPr>
              <w:pStyle w:val="0"/>
              <w:jc w:val="center"/>
            </w:pPr>
            <w:r>
              <w:rPr>
                <w:sz w:val="20"/>
              </w:rPr>
            </w:r>
          </w:p>
        </w:tc>
        <w:tc>
          <w:tcPr>
            <w:tcW w:w="1304" w:type="dxa"/>
          </w:tcPr>
          <w:p>
            <w:pPr>
              <w:pStyle w:val="0"/>
              <w:jc w:val="center"/>
            </w:pPr>
            <w:r>
              <w:rPr>
                <w:sz w:val="20"/>
              </w:rPr>
            </w:r>
          </w:p>
        </w:tc>
        <w:tc>
          <w:tcPr>
            <w:tcW w:w="1192" w:type="dxa"/>
          </w:tcPr>
          <w:p>
            <w:pPr>
              <w:pStyle w:val="0"/>
              <w:jc w:val="center"/>
            </w:pPr>
            <w:r>
              <w:rPr>
                <w:sz w:val="20"/>
              </w:rPr>
            </w:r>
          </w:p>
        </w:tc>
        <w:tc>
          <w:tcPr>
            <w:tcW w:w="1084" w:type="dxa"/>
          </w:tcPr>
          <w:p>
            <w:pPr>
              <w:pStyle w:val="0"/>
              <w:jc w:val="center"/>
            </w:pPr>
            <w:r>
              <w:rPr>
                <w:sz w:val="20"/>
              </w:rPr>
            </w:r>
          </w:p>
        </w:tc>
        <w:tc>
          <w:tcPr>
            <w:tcW w:w="1228" w:type="dxa"/>
          </w:tcPr>
          <w:p>
            <w:pPr>
              <w:pStyle w:val="0"/>
              <w:jc w:val="center"/>
            </w:pPr>
            <w:r>
              <w:rPr>
                <w:sz w:val="20"/>
              </w:rPr>
            </w:r>
          </w:p>
        </w:tc>
      </w:tr>
      <w:tr>
        <w:tc>
          <w:tcPr>
            <w:gridSpan w:val="8"/>
            <w:tcW w:w="12026" w:type="dxa"/>
          </w:tcPr>
          <w:p>
            <w:pPr>
              <w:pStyle w:val="0"/>
              <w:outlineLvl w:val="3"/>
              <w:jc w:val="center"/>
            </w:pPr>
            <w:r>
              <w:rPr>
                <w:sz w:val="20"/>
              </w:rPr>
              <w:t xml:space="preserve">Процессная часть</w:t>
            </w:r>
          </w:p>
        </w:tc>
      </w:tr>
      <w:tr>
        <w:tc>
          <w:tcPr>
            <w:tcW w:w="2551" w:type="dxa"/>
            <w:vMerge w:val="restart"/>
          </w:tcPr>
          <w:p>
            <w:pPr>
              <w:pStyle w:val="0"/>
            </w:pPr>
            <w:r>
              <w:rPr>
                <w:sz w:val="20"/>
              </w:rPr>
              <w:t xml:space="preserve">Комплекс процессных мероприятий "Развитие туристского потенциала Ленинградской области"</w:t>
            </w:r>
          </w:p>
        </w:tc>
        <w:tc>
          <w:tcPr>
            <w:tcW w:w="2164" w:type="dxa"/>
            <w:vMerge w:val="restart"/>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121444,8</w:t>
            </w:r>
          </w:p>
        </w:tc>
        <w:tc>
          <w:tcPr>
            <w:tcW w:w="1304" w:type="dxa"/>
          </w:tcPr>
          <w:p>
            <w:pPr>
              <w:pStyle w:val="0"/>
              <w:jc w:val="center"/>
            </w:pPr>
            <w:r>
              <w:rPr>
                <w:sz w:val="20"/>
              </w:rPr>
            </w:r>
          </w:p>
        </w:tc>
        <w:tc>
          <w:tcPr>
            <w:tcW w:w="1192" w:type="dxa"/>
          </w:tcPr>
          <w:p>
            <w:pPr>
              <w:pStyle w:val="0"/>
              <w:jc w:val="center"/>
            </w:pPr>
            <w:r>
              <w:rPr>
                <w:sz w:val="20"/>
              </w:rPr>
              <w:t xml:space="preserve">121444,8</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2023</w:t>
            </w:r>
          </w:p>
        </w:tc>
        <w:tc>
          <w:tcPr>
            <w:tcW w:w="1191" w:type="dxa"/>
          </w:tcPr>
          <w:p>
            <w:pPr>
              <w:pStyle w:val="0"/>
              <w:jc w:val="center"/>
            </w:pPr>
            <w:r>
              <w:rPr>
                <w:sz w:val="20"/>
              </w:rPr>
              <w:t xml:space="preserve">133599,2</w:t>
            </w:r>
          </w:p>
        </w:tc>
        <w:tc>
          <w:tcPr>
            <w:tcW w:w="1304" w:type="dxa"/>
          </w:tcPr>
          <w:p>
            <w:pPr>
              <w:pStyle w:val="0"/>
              <w:jc w:val="center"/>
            </w:pPr>
            <w:r>
              <w:rPr>
                <w:sz w:val="20"/>
              </w:rPr>
            </w:r>
          </w:p>
        </w:tc>
        <w:tc>
          <w:tcPr>
            <w:tcW w:w="1192" w:type="dxa"/>
          </w:tcPr>
          <w:p>
            <w:pPr>
              <w:pStyle w:val="0"/>
              <w:jc w:val="center"/>
            </w:pPr>
            <w:r>
              <w:rPr>
                <w:sz w:val="20"/>
              </w:rPr>
              <w:t xml:space="preserve">133599,2</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2024</w:t>
            </w:r>
          </w:p>
        </w:tc>
        <w:tc>
          <w:tcPr>
            <w:tcW w:w="1191" w:type="dxa"/>
          </w:tcPr>
          <w:p>
            <w:pPr>
              <w:pStyle w:val="0"/>
              <w:jc w:val="center"/>
            </w:pPr>
            <w:r>
              <w:rPr>
                <w:sz w:val="20"/>
              </w:rPr>
              <w:t xml:space="preserve">129721,9</w:t>
            </w:r>
          </w:p>
        </w:tc>
        <w:tc>
          <w:tcPr>
            <w:tcW w:w="1304" w:type="dxa"/>
          </w:tcPr>
          <w:p>
            <w:pPr>
              <w:pStyle w:val="0"/>
              <w:jc w:val="center"/>
            </w:pPr>
            <w:r>
              <w:rPr>
                <w:sz w:val="20"/>
              </w:rPr>
            </w:r>
          </w:p>
        </w:tc>
        <w:tc>
          <w:tcPr>
            <w:tcW w:w="1192" w:type="dxa"/>
          </w:tcPr>
          <w:p>
            <w:pPr>
              <w:pStyle w:val="0"/>
              <w:jc w:val="center"/>
            </w:pPr>
            <w:r>
              <w:rPr>
                <w:sz w:val="20"/>
              </w:rPr>
              <w:t xml:space="preserve">129721,9</w:t>
            </w:r>
          </w:p>
        </w:tc>
        <w:tc>
          <w:tcPr>
            <w:tcW w:w="1084" w:type="dxa"/>
          </w:tcPr>
          <w:p>
            <w:pPr>
              <w:pStyle w:val="0"/>
              <w:jc w:val="center"/>
            </w:pPr>
            <w:r>
              <w:rPr>
                <w:sz w:val="20"/>
              </w:rPr>
            </w:r>
          </w:p>
        </w:tc>
        <w:tc>
          <w:tcPr>
            <w:tcW w:w="1228" w:type="dxa"/>
          </w:tcPr>
          <w:p>
            <w:pPr>
              <w:pStyle w:val="0"/>
              <w:jc w:val="center"/>
            </w:pPr>
            <w:r>
              <w:rPr>
                <w:sz w:val="20"/>
              </w:rPr>
            </w:r>
          </w:p>
        </w:tc>
      </w:tr>
      <w:tr>
        <w:tc>
          <w:tcPr>
            <w:vMerge w:val="continue"/>
          </w:tcPr>
          <w:p/>
        </w:tc>
        <w:tc>
          <w:tcPr>
            <w:vMerge w:val="continue"/>
          </w:tcPr>
          <w:p/>
        </w:tc>
        <w:tc>
          <w:tcPr>
            <w:tcW w:w="1312" w:type="dxa"/>
          </w:tcPr>
          <w:p>
            <w:pPr>
              <w:pStyle w:val="0"/>
              <w:jc w:val="center"/>
            </w:pPr>
            <w:r>
              <w:rPr>
                <w:sz w:val="20"/>
              </w:rPr>
              <w:t xml:space="preserve">2025</w:t>
            </w:r>
          </w:p>
        </w:tc>
        <w:tc>
          <w:tcPr>
            <w:tcW w:w="1191" w:type="dxa"/>
          </w:tcPr>
          <w:p>
            <w:pPr>
              <w:pStyle w:val="0"/>
              <w:jc w:val="center"/>
            </w:pPr>
            <w:r>
              <w:rPr>
                <w:sz w:val="20"/>
              </w:rPr>
              <w:t xml:space="preserve">129721,9</w:t>
            </w:r>
          </w:p>
        </w:tc>
        <w:tc>
          <w:tcPr>
            <w:tcW w:w="1304" w:type="dxa"/>
          </w:tcPr>
          <w:p>
            <w:pPr>
              <w:pStyle w:val="0"/>
              <w:jc w:val="center"/>
            </w:pPr>
            <w:r>
              <w:rPr>
                <w:sz w:val="20"/>
              </w:rPr>
            </w:r>
          </w:p>
        </w:tc>
        <w:tc>
          <w:tcPr>
            <w:tcW w:w="1192" w:type="dxa"/>
          </w:tcPr>
          <w:p>
            <w:pPr>
              <w:pStyle w:val="0"/>
              <w:jc w:val="center"/>
            </w:pPr>
            <w:r>
              <w:rPr>
                <w:sz w:val="20"/>
              </w:rPr>
              <w:t xml:space="preserve">129721,9</w:t>
            </w:r>
          </w:p>
        </w:tc>
        <w:tc>
          <w:tcPr>
            <w:tcW w:w="1084" w:type="dxa"/>
          </w:tcPr>
          <w:p>
            <w:pPr>
              <w:pStyle w:val="0"/>
              <w:jc w:val="center"/>
            </w:pPr>
            <w:r>
              <w:rPr>
                <w:sz w:val="20"/>
              </w:rPr>
            </w:r>
          </w:p>
        </w:tc>
        <w:tc>
          <w:tcPr>
            <w:tcW w:w="1228" w:type="dxa"/>
          </w:tcPr>
          <w:p>
            <w:pPr>
              <w:pStyle w:val="0"/>
              <w:jc w:val="center"/>
            </w:pPr>
            <w:r>
              <w:rPr>
                <w:sz w:val="20"/>
              </w:rPr>
            </w:r>
          </w:p>
        </w:tc>
      </w:tr>
      <w:tr>
        <w:tblPrEx>
          <w:tblBorders>
            <w:insideH w:val="nil"/>
          </w:tblBorders>
        </w:tblPrEx>
        <w:tc>
          <w:tcPr>
            <w:tcW w:w="2551" w:type="dxa"/>
            <w:tcBorders>
              <w:bottom w:val="nil"/>
            </w:tcBorders>
          </w:tcPr>
          <w:p>
            <w:pPr>
              <w:pStyle w:val="0"/>
            </w:pPr>
            <w:r>
              <w:rPr>
                <w:sz w:val="20"/>
              </w:rPr>
              <w:t xml:space="preserve">Итого</w:t>
            </w:r>
          </w:p>
        </w:tc>
        <w:tc>
          <w:tcPr>
            <w:tcW w:w="2164" w:type="dxa"/>
            <w:tcBorders>
              <w:bottom w:val="nil"/>
            </w:tcBorders>
          </w:tcPr>
          <w:p>
            <w:pPr>
              <w:pStyle w:val="0"/>
            </w:pPr>
            <w:r>
              <w:rPr>
                <w:sz w:val="20"/>
              </w:rPr>
            </w:r>
          </w:p>
        </w:tc>
        <w:tc>
          <w:tcPr>
            <w:tcW w:w="1312" w:type="dxa"/>
            <w:tcBorders>
              <w:bottom w:val="nil"/>
            </w:tcBorders>
          </w:tcPr>
          <w:p>
            <w:pPr>
              <w:pStyle w:val="0"/>
              <w:jc w:val="center"/>
            </w:pPr>
            <w:r>
              <w:rPr>
                <w:sz w:val="20"/>
              </w:rPr>
              <w:t xml:space="preserve">2022-2025</w:t>
            </w:r>
          </w:p>
        </w:tc>
        <w:tc>
          <w:tcPr>
            <w:tcW w:w="1191" w:type="dxa"/>
            <w:tcBorders>
              <w:bottom w:val="nil"/>
            </w:tcBorders>
          </w:tcPr>
          <w:p>
            <w:pPr>
              <w:pStyle w:val="0"/>
              <w:jc w:val="center"/>
            </w:pPr>
            <w:r>
              <w:rPr>
                <w:sz w:val="20"/>
              </w:rPr>
              <w:t xml:space="preserve">514488</w:t>
            </w:r>
          </w:p>
        </w:tc>
        <w:tc>
          <w:tcPr>
            <w:tcW w:w="1304" w:type="dxa"/>
            <w:tcBorders>
              <w:bottom w:val="nil"/>
            </w:tcBorders>
          </w:tcPr>
          <w:p>
            <w:pPr>
              <w:pStyle w:val="0"/>
              <w:jc w:val="center"/>
            </w:pPr>
            <w:r>
              <w:rPr>
                <w:sz w:val="20"/>
              </w:rPr>
            </w:r>
          </w:p>
        </w:tc>
        <w:tc>
          <w:tcPr>
            <w:tcW w:w="1192" w:type="dxa"/>
            <w:tcBorders>
              <w:bottom w:val="nil"/>
            </w:tcBorders>
          </w:tcPr>
          <w:p>
            <w:pPr>
              <w:pStyle w:val="0"/>
              <w:jc w:val="center"/>
            </w:pPr>
            <w:r>
              <w:rPr>
                <w:sz w:val="20"/>
              </w:rPr>
              <w:t xml:space="preserve">514488</w:t>
            </w:r>
          </w:p>
        </w:tc>
        <w:tc>
          <w:tcPr>
            <w:tcW w:w="1084" w:type="dxa"/>
            <w:tcBorders>
              <w:bottom w:val="nil"/>
            </w:tcBorders>
          </w:tcPr>
          <w:p>
            <w:pPr>
              <w:pStyle w:val="0"/>
              <w:jc w:val="center"/>
            </w:pPr>
            <w:r>
              <w:rPr>
                <w:sz w:val="20"/>
              </w:rPr>
            </w:r>
          </w:p>
        </w:tc>
        <w:tc>
          <w:tcPr>
            <w:tcW w:w="1228" w:type="dxa"/>
            <w:tcBorders>
              <w:bottom w:val="nil"/>
            </w:tcBorders>
          </w:tcPr>
          <w:p>
            <w:pPr>
              <w:pStyle w:val="0"/>
              <w:jc w:val="center"/>
            </w:pPr>
            <w:r>
              <w:rPr>
                <w:sz w:val="20"/>
              </w:rPr>
            </w:r>
          </w:p>
        </w:tc>
      </w:tr>
      <w:tr>
        <w:tblPrEx>
          <w:tblBorders>
            <w:insideH w:val="nil"/>
          </w:tblBorders>
        </w:tblPrEx>
        <w:tc>
          <w:tcPr>
            <w:gridSpan w:val="8"/>
            <w:tcW w:w="12026" w:type="dxa"/>
            <w:tcBorders>
              <w:top w:val="nil"/>
            </w:tcBorders>
          </w:tcPr>
          <w:p>
            <w:pPr>
              <w:pStyle w:val="0"/>
              <w:jc w:val="both"/>
            </w:pPr>
            <w:r>
              <w:rPr>
                <w:sz w:val="20"/>
              </w:rPr>
              <w:t xml:space="preserve">(в ред. </w:t>
            </w:r>
            <w:hyperlink w:history="0" r:id="rId75" w:tooltip="Постановление Правительства Ленинградской области от 21.06.2023 N 414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21.06.2023 N 414)</w:t>
            </w:r>
          </w:p>
        </w:tc>
      </w:tr>
    </w:tbl>
    <w:p>
      <w:pPr>
        <w:pStyle w:val="0"/>
        <w:jc w:val="both"/>
      </w:pPr>
      <w:r>
        <w:rPr>
          <w:sz w:val="20"/>
        </w:rPr>
      </w:r>
    </w:p>
    <w:p>
      <w:pPr>
        <w:pStyle w:val="0"/>
        <w:outlineLvl w:val="2"/>
        <w:jc w:val="right"/>
      </w:pPr>
      <w:r>
        <w:rPr>
          <w:sz w:val="20"/>
        </w:rPr>
        <w:t xml:space="preserve">Таблица 3а</w:t>
      </w:r>
    </w:p>
    <w:p>
      <w:pPr>
        <w:pStyle w:val="0"/>
        <w:jc w:val="right"/>
      </w:pPr>
      <w:r>
        <w:rPr>
          <w:sz w:val="20"/>
        </w:rPr>
      </w:r>
    </w:p>
    <w:p>
      <w:pPr>
        <w:pStyle w:val="2"/>
        <w:jc w:val="center"/>
      </w:pPr>
      <w:r>
        <w:rPr>
          <w:sz w:val="20"/>
        </w:rPr>
        <w:t xml:space="preserve">Сведения о фактических расходах на реализацию</w:t>
      </w:r>
    </w:p>
    <w:p>
      <w:pPr>
        <w:pStyle w:val="2"/>
        <w:jc w:val="center"/>
      </w:pPr>
      <w:r>
        <w:rPr>
          <w:sz w:val="20"/>
        </w:rPr>
        <w:t xml:space="preserve">государственной программы Ленинградской области</w:t>
      </w:r>
    </w:p>
    <w:p>
      <w:pPr>
        <w:pStyle w:val="2"/>
        <w:jc w:val="center"/>
      </w:pPr>
      <w:r>
        <w:rPr>
          <w:sz w:val="20"/>
        </w:rPr>
        <w:t xml:space="preserve">"Развитие внутреннего и въездного туризма</w:t>
      </w:r>
    </w:p>
    <w:p>
      <w:pPr>
        <w:pStyle w:val="2"/>
        <w:jc w:val="center"/>
      </w:pPr>
      <w:r>
        <w:rPr>
          <w:sz w:val="20"/>
        </w:rPr>
        <w:t xml:space="preserve">в Ленинградской области"</w:t>
      </w:r>
    </w:p>
    <w:p>
      <w:pPr>
        <w:pStyle w:val="0"/>
        <w:jc w:val="center"/>
      </w:pPr>
      <w:r>
        <w:rPr>
          <w:sz w:val="20"/>
        </w:rPr>
        <w:t xml:space="preserve">(введены </w:t>
      </w:r>
      <w:hyperlink w:history="0" r:id="rId76" w:tooltip="Постановление Правительства Ленинградской области от 21.06.2023 N 414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w:t>
      </w:r>
    </w:p>
    <w:p>
      <w:pPr>
        <w:pStyle w:val="0"/>
        <w:jc w:val="center"/>
      </w:pPr>
      <w:r>
        <w:rPr>
          <w:sz w:val="20"/>
        </w:rPr>
        <w:t xml:space="preserve">от 21.06.2023 N 414)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164"/>
        <w:gridCol w:w="1312"/>
        <w:gridCol w:w="1191"/>
        <w:gridCol w:w="1304"/>
        <w:gridCol w:w="1192"/>
        <w:gridCol w:w="1084"/>
        <w:gridCol w:w="1228"/>
      </w:tblGrid>
      <w:tr>
        <w:tc>
          <w:tcPr>
            <w:tcW w:w="2551" w:type="dxa"/>
            <w:vMerge w:val="restart"/>
          </w:tcPr>
          <w:p>
            <w:pPr>
              <w:pStyle w:val="0"/>
              <w:jc w:val="center"/>
            </w:pPr>
            <w:r>
              <w:rPr>
                <w:sz w:val="20"/>
              </w:rPr>
              <w:t xml:space="preserve">Наименование государственной программы, подпрограммы государственной программы, структурного элемента государственной программы</w:t>
            </w:r>
          </w:p>
        </w:tc>
        <w:tc>
          <w:tcPr>
            <w:tcW w:w="2164" w:type="dxa"/>
            <w:vMerge w:val="restart"/>
          </w:tcPr>
          <w:p>
            <w:pPr>
              <w:pStyle w:val="0"/>
              <w:jc w:val="center"/>
            </w:pPr>
            <w:r>
              <w:rPr>
                <w:sz w:val="20"/>
              </w:rPr>
              <w:t xml:space="preserve">Ответственный исполнитель, соисполнитель, участник</w:t>
            </w:r>
          </w:p>
        </w:tc>
        <w:tc>
          <w:tcPr>
            <w:tcW w:w="1312" w:type="dxa"/>
            <w:vMerge w:val="restart"/>
          </w:tcPr>
          <w:p>
            <w:pPr>
              <w:pStyle w:val="0"/>
              <w:jc w:val="center"/>
            </w:pPr>
            <w:r>
              <w:rPr>
                <w:sz w:val="20"/>
              </w:rPr>
              <w:t xml:space="preserve">Годы реализации</w:t>
            </w:r>
          </w:p>
        </w:tc>
        <w:tc>
          <w:tcPr>
            <w:gridSpan w:val="5"/>
            <w:tcW w:w="5999" w:type="dxa"/>
          </w:tcPr>
          <w:p>
            <w:pPr>
              <w:pStyle w:val="0"/>
              <w:jc w:val="center"/>
            </w:pPr>
            <w:r>
              <w:rPr>
                <w:sz w:val="20"/>
              </w:rPr>
              <w:t xml:space="preserve">Оценка расходов (тыс. руб.)</w:t>
            </w:r>
          </w:p>
        </w:tc>
      </w:tr>
      <w:tr>
        <w:tc>
          <w:tcPr>
            <w:vMerge w:val="continue"/>
          </w:tcPr>
          <w:p/>
        </w:tc>
        <w:tc>
          <w:tcPr>
            <w:vMerge w:val="continue"/>
          </w:tcPr>
          <w:p/>
        </w:tc>
        <w:tc>
          <w:tcPr>
            <w:vMerge w:val="continue"/>
          </w:tcPr>
          <w:p/>
        </w:tc>
        <w:tc>
          <w:tcPr>
            <w:tcW w:w="1191" w:type="dxa"/>
          </w:tcPr>
          <w:p>
            <w:pPr>
              <w:pStyle w:val="0"/>
              <w:jc w:val="center"/>
            </w:pPr>
            <w:r>
              <w:rPr>
                <w:sz w:val="20"/>
              </w:rPr>
              <w:t xml:space="preserve">всего</w:t>
            </w:r>
          </w:p>
        </w:tc>
        <w:tc>
          <w:tcPr>
            <w:tcW w:w="1304" w:type="dxa"/>
          </w:tcPr>
          <w:p>
            <w:pPr>
              <w:pStyle w:val="0"/>
              <w:jc w:val="center"/>
            </w:pPr>
            <w:r>
              <w:rPr>
                <w:sz w:val="20"/>
              </w:rPr>
              <w:t xml:space="preserve">федеральный бюджет</w:t>
            </w:r>
          </w:p>
        </w:tc>
        <w:tc>
          <w:tcPr>
            <w:tcW w:w="1192" w:type="dxa"/>
          </w:tcPr>
          <w:p>
            <w:pPr>
              <w:pStyle w:val="0"/>
              <w:jc w:val="center"/>
            </w:pPr>
            <w:r>
              <w:rPr>
                <w:sz w:val="20"/>
              </w:rPr>
              <w:t xml:space="preserve">областной бюджет</w:t>
            </w:r>
          </w:p>
        </w:tc>
        <w:tc>
          <w:tcPr>
            <w:tcW w:w="1084" w:type="dxa"/>
          </w:tcPr>
          <w:p>
            <w:pPr>
              <w:pStyle w:val="0"/>
              <w:jc w:val="center"/>
            </w:pPr>
            <w:r>
              <w:rPr>
                <w:sz w:val="20"/>
              </w:rPr>
              <w:t xml:space="preserve">местные бюджеты</w:t>
            </w:r>
          </w:p>
        </w:tc>
        <w:tc>
          <w:tcPr>
            <w:tcW w:w="1228" w:type="dxa"/>
          </w:tcPr>
          <w:p>
            <w:pPr>
              <w:pStyle w:val="0"/>
              <w:jc w:val="center"/>
            </w:pPr>
            <w:r>
              <w:rPr>
                <w:sz w:val="20"/>
              </w:rPr>
              <w:t xml:space="preserve">прочие источники</w:t>
            </w:r>
          </w:p>
        </w:tc>
      </w:tr>
      <w:tr>
        <w:tc>
          <w:tcPr>
            <w:tcW w:w="2551" w:type="dxa"/>
          </w:tcPr>
          <w:p>
            <w:pPr>
              <w:pStyle w:val="0"/>
              <w:jc w:val="center"/>
            </w:pPr>
            <w:r>
              <w:rPr>
                <w:sz w:val="20"/>
              </w:rPr>
              <w:t xml:space="preserve">1</w:t>
            </w:r>
          </w:p>
        </w:tc>
        <w:tc>
          <w:tcPr>
            <w:tcW w:w="2164" w:type="dxa"/>
          </w:tcPr>
          <w:p>
            <w:pPr>
              <w:pStyle w:val="0"/>
              <w:jc w:val="center"/>
            </w:pPr>
            <w:r>
              <w:rPr>
                <w:sz w:val="20"/>
              </w:rPr>
              <w:t xml:space="preserve">2</w:t>
            </w:r>
          </w:p>
        </w:tc>
        <w:tc>
          <w:tcPr>
            <w:tcW w:w="1312" w:type="dxa"/>
          </w:tcPr>
          <w:p>
            <w:pPr>
              <w:pStyle w:val="0"/>
              <w:jc w:val="center"/>
            </w:pPr>
            <w:r>
              <w:rPr>
                <w:sz w:val="20"/>
              </w:rPr>
              <w:t xml:space="preserve">3</w:t>
            </w:r>
          </w:p>
        </w:tc>
        <w:tc>
          <w:tcPr>
            <w:tcW w:w="1191" w:type="dxa"/>
          </w:tcPr>
          <w:p>
            <w:pPr>
              <w:pStyle w:val="0"/>
              <w:jc w:val="center"/>
            </w:pPr>
            <w:r>
              <w:rPr>
                <w:sz w:val="20"/>
              </w:rPr>
              <w:t xml:space="preserve">4</w:t>
            </w:r>
          </w:p>
        </w:tc>
        <w:tc>
          <w:tcPr>
            <w:tcW w:w="1304" w:type="dxa"/>
          </w:tcPr>
          <w:p>
            <w:pPr>
              <w:pStyle w:val="0"/>
              <w:jc w:val="center"/>
            </w:pPr>
            <w:r>
              <w:rPr>
                <w:sz w:val="20"/>
              </w:rPr>
              <w:t xml:space="preserve">5</w:t>
            </w:r>
          </w:p>
        </w:tc>
        <w:tc>
          <w:tcPr>
            <w:tcW w:w="1192" w:type="dxa"/>
          </w:tcPr>
          <w:p>
            <w:pPr>
              <w:pStyle w:val="0"/>
              <w:jc w:val="center"/>
            </w:pPr>
            <w:r>
              <w:rPr>
                <w:sz w:val="20"/>
              </w:rPr>
              <w:t xml:space="preserve">6</w:t>
            </w:r>
          </w:p>
        </w:tc>
        <w:tc>
          <w:tcPr>
            <w:tcW w:w="1084" w:type="dxa"/>
          </w:tcPr>
          <w:p>
            <w:pPr>
              <w:pStyle w:val="0"/>
              <w:jc w:val="center"/>
            </w:pPr>
            <w:r>
              <w:rPr>
                <w:sz w:val="20"/>
              </w:rPr>
              <w:t xml:space="preserve">7</w:t>
            </w:r>
          </w:p>
        </w:tc>
        <w:tc>
          <w:tcPr>
            <w:tcW w:w="1228" w:type="dxa"/>
          </w:tcPr>
          <w:p>
            <w:pPr>
              <w:pStyle w:val="0"/>
              <w:jc w:val="center"/>
            </w:pPr>
            <w:r>
              <w:rPr>
                <w:sz w:val="20"/>
              </w:rPr>
              <w:t xml:space="preserve">8</w:t>
            </w:r>
          </w:p>
        </w:tc>
      </w:tr>
      <w:tr>
        <w:tc>
          <w:tcPr>
            <w:tcW w:w="2551" w:type="dxa"/>
          </w:tcPr>
          <w:p>
            <w:pPr>
              <w:pStyle w:val="0"/>
            </w:pPr>
            <w:r>
              <w:rPr>
                <w:sz w:val="20"/>
              </w:rPr>
              <w:t xml:space="preserve">Государственная программа Ленинградской области "Развитие внутреннего и въездного туризма в Ленинградской области"</w:t>
            </w:r>
          </w:p>
        </w:tc>
        <w:tc>
          <w:tcPr>
            <w:tcW w:w="2164" w:type="dxa"/>
          </w:tcPr>
          <w:p>
            <w:pPr>
              <w:pStyle w:val="0"/>
            </w:pPr>
            <w:r>
              <w:rPr>
                <w:sz w:val="20"/>
              </w:rPr>
              <w:t xml:space="preserve">Комитет по культуре и туризму Ленинградской области (далее - 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212714,5</w:t>
            </w:r>
          </w:p>
        </w:tc>
        <w:tc>
          <w:tcPr>
            <w:tcW w:w="1304" w:type="dxa"/>
          </w:tcPr>
          <w:p>
            <w:pPr>
              <w:pStyle w:val="0"/>
              <w:jc w:val="center"/>
            </w:pPr>
            <w:r>
              <w:rPr>
                <w:sz w:val="20"/>
              </w:rPr>
              <w:t xml:space="preserve">19712,5</w:t>
            </w:r>
          </w:p>
        </w:tc>
        <w:tc>
          <w:tcPr>
            <w:tcW w:w="1192" w:type="dxa"/>
          </w:tcPr>
          <w:p>
            <w:pPr>
              <w:pStyle w:val="0"/>
              <w:jc w:val="center"/>
            </w:pPr>
            <w:r>
              <w:rPr>
                <w:sz w:val="20"/>
              </w:rPr>
              <w:t xml:space="preserve">182524,0</w:t>
            </w:r>
          </w:p>
        </w:tc>
        <w:tc>
          <w:tcPr>
            <w:tcW w:w="1084" w:type="dxa"/>
          </w:tcPr>
          <w:p>
            <w:pPr>
              <w:pStyle w:val="0"/>
              <w:jc w:val="center"/>
            </w:pPr>
            <w:r>
              <w:rPr>
                <w:sz w:val="20"/>
              </w:rPr>
              <w:t xml:space="preserve">10478,0</w:t>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w:t>
            </w:r>
          </w:p>
        </w:tc>
        <w:tc>
          <w:tcPr>
            <w:tcW w:w="1191" w:type="dxa"/>
          </w:tcPr>
          <w:p>
            <w:pPr>
              <w:pStyle w:val="0"/>
              <w:jc w:val="center"/>
            </w:pPr>
            <w:r>
              <w:rPr>
                <w:sz w:val="20"/>
              </w:rPr>
              <w:t xml:space="preserve">212714,5</w:t>
            </w:r>
          </w:p>
        </w:tc>
        <w:tc>
          <w:tcPr>
            <w:tcW w:w="1304" w:type="dxa"/>
          </w:tcPr>
          <w:p>
            <w:pPr>
              <w:pStyle w:val="0"/>
              <w:jc w:val="center"/>
            </w:pPr>
            <w:r>
              <w:rPr>
                <w:sz w:val="20"/>
              </w:rPr>
              <w:t xml:space="preserve">19712,5</w:t>
            </w:r>
          </w:p>
        </w:tc>
        <w:tc>
          <w:tcPr>
            <w:tcW w:w="1192" w:type="dxa"/>
          </w:tcPr>
          <w:p>
            <w:pPr>
              <w:pStyle w:val="0"/>
              <w:jc w:val="center"/>
            </w:pPr>
            <w:r>
              <w:rPr>
                <w:sz w:val="20"/>
              </w:rPr>
              <w:t xml:space="preserve">182524,0</w:t>
            </w:r>
          </w:p>
        </w:tc>
        <w:tc>
          <w:tcPr>
            <w:tcW w:w="1084" w:type="dxa"/>
          </w:tcPr>
          <w:p>
            <w:pPr>
              <w:pStyle w:val="0"/>
              <w:jc w:val="center"/>
            </w:pPr>
            <w:r>
              <w:rPr>
                <w:sz w:val="20"/>
              </w:rPr>
              <w:t xml:space="preserve">10478,0</w:t>
            </w:r>
          </w:p>
        </w:tc>
        <w:tc>
          <w:tcPr>
            <w:tcW w:w="1228" w:type="dxa"/>
          </w:tcPr>
          <w:p>
            <w:pPr>
              <w:pStyle w:val="0"/>
              <w:jc w:val="center"/>
            </w:pPr>
            <w:r>
              <w:rPr>
                <w:sz w:val="20"/>
              </w:rPr>
            </w:r>
          </w:p>
        </w:tc>
      </w:tr>
      <w:tr>
        <w:tc>
          <w:tcPr>
            <w:gridSpan w:val="8"/>
            <w:tcW w:w="12026" w:type="dxa"/>
          </w:tcPr>
          <w:p>
            <w:pPr>
              <w:pStyle w:val="0"/>
              <w:jc w:val="center"/>
            </w:pPr>
            <w:r>
              <w:rPr>
                <w:sz w:val="20"/>
              </w:rPr>
              <w:t xml:space="preserve">Проектная часть</w:t>
            </w:r>
          </w:p>
        </w:tc>
      </w:tr>
      <w:tr>
        <w:tc>
          <w:tcPr>
            <w:tcW w:w="2551" w:type="dxa"/>
          </w:tcPr>
          <w:p>
            <w:pPr>
              <w:pStyle w:val="0"/>
            </w:pPr>
            <w:r>
              <w:rPr>
                <w:sz w:val="20"/>
              </w:rPr>
              <w:t xml:space="preserve">Федеральный проект "Развитие туристической инфраструктуры"</w:t>
            </w:r>
          </w:p>
        </w:tc>
        <w:tc>
          <w:tcPr>
            <w:tcW w:w="2164" w:type="dxa"/>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r>
          </w:p>
        </w:tc>
        <w:tc>
          <w:tcPr>
            <w:tcW w:w="1304" w:type="dxa"/>
          </w:tcPr>
          <w:p>
            <w:pPr>
              <w:pStyle w:val="0"/>
              <w:jc w:val="center"/>
            </w:pPr>
            <w:r>
              <w:rPr>
                <w:sz w:val="20"/>
              </w:rPr>
            </w:r>
          </w:p>
        </w:tc>
        <w:tc>
          <w:tcPr>
            <w:tcW w:w="1192" w:type="dxa"/>
          </w:tcPr>
          <w:p>
            <w:pPr>
              <w:pStyle w:val="0"/>
              <w:jc w:val="center"/>
            </w:pPr>
            <w:r>
              <w:rPr>
                <w:sz w:val="20"/>
              </w:rPr>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w:t>
            </w:r>
          </w:p>
        </w:tc>
        <w:tc>
          <w:tcPr>
            <w:tcW w:w="1191" w:type="dxa"/>
          </w:tcPr>
          <w:p>
            <w:pPr>
              <w:pStyle w:val="0"/>
              <w:jc w:val="center"/>
            </w:pPr>
            <w:r>
              <w:rPr>
                <w:sz w:val="20"/>
              </w:rPr>
            </w:r>
          </w:p>
        </w:tc>
        <w:tc>
          <w:tcPr>
            <w:tcW w:w="1304" w:type="dxa"/>
          </w:tcPr>
          <w:p>
            <w:pPr>
              <w:pStyle w:val="0"/>
              <w:jc w:val="center"/>
            </w:pPr>
            <w:r>
              <w:rPr>
                <w:sz w:val="20"/>
              </w:rPr>
            </w:r>
          </w:p>
        </w:tc>
        <w:tc>
          <w:tcPr>
            <w:tcW w:w="1192" w:type="dxa"/>
          </w:tcPr>
          <w:p>
            <w:pPr>
              <w:pStyle w:val="0"/>
              <w:jc w:val="center"/>
            </w:pPr>
            <w:r>
              <w:rPr>
                <w:sz w:val="20"/>
              </w:rPr>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Мероприятия, направленные на достижение цели федерального проекта "Развитие туристической инфраструктуры"</w:t>
            </w:r>
          </w:p>
        </w:tc>
        <w:tc>
          <w:tcPr>
            <w:tcW w:w="2164" w:type="dxa"/>
          </w:tcPr>
          <w:p>
            <w:pPr>
              <w:pStyle w:val="0"/>
            </w:pPr>
            <w:r>
              <w:rPr>
                <w:sz w:val="20"/>
              </w:rPr>
              <w:t xml:space="preserve">Комитет, Комитет по дорожному хозяйству Ленинградской области</w:t>
            </w:r>
          </w:p>
        </w:tc>
        <w:tc>
          <w:tcPr>
            <w:tcW w:w="1312" w:type="dxa"/>
          </w:tcPr>
          <w:p>
            <w:pPr>
              <w:pStyle w:val="0"/>
              <w:jc w:val="center"/>
            </w:pPr>
            <w:r>
              <w:rPr>
                <w:sz w:val="20"/>
              </w:rPr>
              <w:t xml:space="preserve">2022</w:t>
            </w:r>
          </w:p>
        </w:tc>
        <w:tc>
          <w:tcPr>
            <w:tcW w:w="1191" w:type="dxa"/>
          </w:tcPr>
          <w:p>
            <w:pPr>
              <w:pStyle w:val="0"/>
              <w:jc w:val="center"/>
            </w:pPr>
            <w:r>
              <w:rPr>
                <w:sz w:val="20"/>
              </w:rPr>
              <w:t xml:space="preserve">1340,0</w:t>
            </w:r>
          </w:p>
        </w:tc>
        <w:tc>
          <w:tcPr>
            <w:tcW w:w="1304" w:type="dxa"/>
          </w:tcPr>
          <w:p>
            <w:pPr>
              <w:pStyle w:val="0"/>
              <w:jc w:val="center"/>
            </w:pPr>
            <w:r>
              <w:rPr>
                <w:sz w:val="20"/>
              </w:rPr>
            </w:r>
          </w:p>
        </w:tc>
        <w:tc>
          <w:tcPr>
            <w:tcW w:w="1192" w:type="dxa"/>
          </w:tcPr>
          <w:p>
            <w:pPr>
              <w:pStyle w:val="0"/>
              <w:jc w:val="center"/>
            </w:pPr>
            <w:r>
              <w:rPr>
                <w:sz w:val="20"/>
              </w:rPr>
              <w:t xml:space="preserve">1340,0</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w:t>
            </w:r>
          </w:p>
        </w:tc>
        <w:tc>
          <w:tcPr>
            <w:tcW w:w="1191" w:type="dxa"/>
          </w:tcPr>
          <w:p>
            <w:pPr>
              <w:pStyle w:val="0"/>
              <w:jc w:val="center"/>
            </w:pPr>
            <w:r>
              <w:rPr>
                <w:sz w:val="20"/>
              </w:rPr>
              <w:t xml:space="preserve">1340,0</w:t>
            </w:r>
          </w:p>
        </w:tc>
        <w:tc>
          <w:tcPr>
            <w:tcW w:w="1304" w:type="dxa"/>
          </w:tcPr>
          <w:p>
            <w:pPr>
              <w:pStyle w:val="0"/>
              <w:jc w:val="center"/>
            </w:pPr>
            <w:r>
              <w:rPr>
                <w:sz w:val="20"/>
              </w:rPr>
            </w:r>
          </w:p>
        </w:tc>
        <w:tc>
          <w:tcPr>
            <w:tcW w:w="1192" w:type="dxa"/>
          </w:tcPr>
          <w:p>
            <w:pPr>
              <w:pStyle w:val="0"/>
              <w:jc w:val="center"/>
            </w:pPr>
            <w:r>
              <w:rPr>
                <w:sz w:val="20"/>
              </w:rPr>
              <w:t xml:space="preserve">1340,0</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Федеральный проект "Повышение доступности туристических продуктов"</w:t>
            </w:r>
          </w:p>
        </w:tc>
        <w:tc>
          <w:tcPr>
            <w:tcW w:w="2164" w:type="dxa"/>
          </w:tcPr>
          <w:p>
            <w:pPr>
              <w:pStyle w:val="0"/>
            </w:pPr>
            <w:r>
              <w:rPr>
                <w:sz w:val="20"/>
              </w:rPr>
              <w:t xml:space="preserve">Комитет, комитет общего и профессионального образования Ленинградской области</w:t>
            </w:r>
          </w:p>
        </w:tc>
        <w:tc>
          <w:tcPr>
            <w:tcW w:w="1312" w:type="dxa"/>
          </w:tcPr>
          <w:p>
            <w:pPr>
              <w:pStyle w:val="0"/>
              <w:jc w:val="center"/>
            </w:pPr>
            <w:r>
              <w:rPr>
                <w:sz w:val="20"/>
              </w:rPr>
              <w:t xml:space="preserve">2022</w:t>
            </w:r>
          </w:p>
        </w:tc>
        <w:tc>
          <w:tcPr>
            <w:tcW w:w="1191" w:type="dxa"/>
          </w:tcPr>
          <w:p>
            <w:pPr>
              <w:pStyle w:val="0"/>
              <w:jc w:val="center"/>
            </w:pPr>
            <w:r>
              <w:rPr>
                <w:sz w:val="20"/>
              </w:rPr>
              <w:t xml:space="preserve">29422,67</w:t>
            </w:r>
          </w:p>
        </w:tc>
        <w:tc>
          <w:tcPr>
            <w:tcW w:w="1304" w:type="dxa"/>
          </w:tcPr>
          <w:p>
            <w:pPr>
              <w:pStyle w:val="0"/>
              <w:jc w:val="center"/>
            </w:pPr>
            <w:r>
              <w:rPr>
                <w:sz w:val="20"/>
              </w:rPr>
              <w:t xml:space="preserve">19712,5</w:t>
            </w:r>
          </w:p>
        </w:tc>
        <w:tc>
          <w:tcPr>
            <w:tcW w:w="1192" w:type="dxa"/>
          </w:tcPr>
          <w:p>
            <w:pPr>
              <w:pStyle w:val="0"/>
              <w:jc w:val="center"/>
            </w:pPr>
            <w:r>
              <w:rPr>
                <w:sz w:val="20"/>
              </w:rPr>
              <w:t xml:space="preserve">9710,166</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w:t>
            </w:r>
          </w:p>
        </w:tc>
        <w:tc>
          <w:tcPr>
            <w:tcW w:w="1191" w:type="dxa"/>
          </w:tcPr>
          <w:p>
            <w:pPr>
              <w:pStyle w:val="0"/>
              <w:jc w:val="center"/>
            </w:pPr>
            <w:r>
              <w:rPr>
                <w:sz w:val="20"/>
              </w:rPr>
              <w:t xml:space="preserve">29422,67</w:t>
            </w:r>
          </w:p>
        </w:tc>
        <w:tc>
          <w:tcPr>
            <w:tcW w:w="1304" w:type="dxa"/>
          </w:tcPr>
          <w:p>
            <w:pPr>
              <w:pStyle w:val="0"/>
              <w:jc w:val="center"/>
            </w:pPr>
            <w:r>
              <w:rPr>
                <w:sz w:val="20"/>
              </w:rPr>
              <w:t xml:space="preserve">19712,5</w:t>
            </w:r>
          </w:p>
        </w:tc>
        <w:tc>
          <w:tcPr>
            <w:tcW w:w="1192" w:type="dxa"/>
          </w:tcPr>
          <w:p>
            <w:pPr>
              <w:pStyle w:val="0"/>
              <w:jc w:val="center"/>
            </w:pPr>
            <w:r>
              <w:rPr>
                <w:sz w:val="20"/>
              </w:rPr>
              <w:t xml:space="preserve">9710,166</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Мероприятие, направленное на достижение цели федерального проекта "Повышение доступности туристических продуктов"</w:t>
            </w:r>
          </w:p>
        </w:tc>
        <w:tc>
          <w:tcPr>
            <w:tcW w:w="2164" w:type="dxa"/>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498,0</w:t>
            </w:r>
          </w:p>
        </w:tc>
        <w:tc>
          <w:tcPr>
            <w:tcW w:w="1304" w:type="dxa"/>
          </w:tcPr>
          <w:p>
            <w:pPr>
              <w:pStyle w:val="0"/>
              <w:jc w:val="center"/>
            </w:pPr>
            <w:r>
              <w:rPr>
                <w:sz w:val="20"/>
              </w:rPr>
            </w:r>
          </w:p>
        </w:tc>
        <w:tc>
          <w:tcPr>
            <w:tcW w:w="1192" w:type="dxa"/>
          </w:tcPr>
          <w:p>
            <w:pPr>
              <w:pStyle w:val="0"/>
              <w:jc w:val="center"/>
            </w:pPr>
            <w:r>
              <w:rPr>
                <w:sz w:val="20"/>
              </w:rPr>
              <w:t xml:space="preserve">498,0</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w:t>
            </w:r>
          </w:p>
        </w:tc>
        <w:tc>
          <w:tcPr>
            <w:tcW w:w="1191" w:type="dxa"/>
          </w:tcPr>
          <w:p>
            <w:pPr>
              <w:pStyle w:val="0"/>
              <w:jc w:val="center"/>
            </w:pPr>
            <w:r>
              <w:rPr>
                <w:sz w:val="20"/>
              </w:rPr>
              <w:t xml:space="preserve">498,0</w:t>
            </w:r>
          </w:p>
        </w:tc>
        <w:tc>
          <w:tcPr>
            <w:tcW w:w="1304" w:type="dxa"/>
          </w:tcPr>
          <w:p>
            <w:pPr>
              <w:pStyle w:val="0"/>
              <w:jc w:val="center"/>
            </w:pPr>
            <w:r>
              <w:rPr>
                <w:sz w:val="20"/>
              </w:rPr>
            </w:r>
          </w:p>
        </w:tc>
        <w:tc>
          <w:tcPr>
            <w:tcW w:w="1192" w:type="dxa"/>
          </w:tcPr>
          <w:p>
            <w:pPr>
              <w:pStyle w:val="0"/>
              <w:jc w:val="center"/>
            </w:pPr>
            <w:r>
              <w:rPr>
                <w:sz w:val="20"/>
              </w:rPr>
              <w:t xml:space="preserve">498,0</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Мероприятия, направленные на достижение цели федерального проекта "Совершенствование управления в сфере туризма"</w:t>
            </w:r>
          </w:p>
        </w:tc>
        <w:tc>
          <w:tcPr>
            <w:tcW w:w="2164" w:type="dxa"/>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7123,0</w:t>
            </w:r>
          </w:p>
        </w:tc>
        <w:tc>
          <w:tcPr>
            <w:tcW w:w="1304" w:type="dxa"/>
          </w:tcPr>
          <w:p>
            <w:pPr>
              <w:pStyle w:val="0"/>
              <w:jc w:val="center"/>
            </w:pPr>
            <w:r>
              <w:rPr>
                <w:sz w:val="20"/>
              </w:rPr>
            </w:r>
          </w:p>
        </w:tc>
        <w:tc>
          <w:tcPr>
            <w:tcW w:w="1192" w:type="dxa"/>
          </w:tcPr>
          <w:p>
            <w:pPr>
              <w:pStyle w:val="0"/>
              <w:jc w:val="center"/>
            </w:pPr>
            <w:r>
              <w:rPr>
                <w:sz w:val="20"/>
              </w:rPr>
              <w:t xml:space="preserve">7123,0</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w:t>
            </w:r>
          </w:p>
        </w:tc>
        <w:tc>
          <w:tcPr>
            <w:tcW w:w="1191" w:type="dxa"/>
          </w:tcPr>
          <w:p>
            <w:pPr>
              <w:pStyle w:val="0"/>
              <w:jc w:val="center"/>
            </w:pPr>
            <w:r>
              <w:rPr>
                <w:sz w:val="20"/>
              </w:rPr>
              <w:t xml:space="preserve">7123,0</w:t>
            </w:r>
          </w:p>
        </w:tc>
        <w:tc>
          <w:tcPr>
            <w:tcW w:w="1304" w:type="dxa"/>
          </w:tcPr>
          <w:p>
            <w:pPr>
              <w:pStyle w:val="0"/>
              <w:jc w:val="center"/>
            </w:pPr>
            <w:r>
              <w:rPr>
                <w:sz w:val="20"/>
              </w:rPr>
            </w:r>
          </w:p>
        </w:tc>
        <w:tc>
          <w:tcPr>
            <w:tcW w:w="1192" w:type="dxa"/>
          </w:tcPr>
          <w:p>
            <w:pPr>
              <w:pStyle w:val="0"/>
              <w:jc w:val="center"/>
            </w:pPr>
            <w:r>
              <w:rPr>
                <w:sz w:val="20"/>
              </w:rPr>
              <w:t xml:space="preserve">7123,0</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Приоритетный проект "Вело 47"</w:t>
            </w:r>
          </w:p>
        </w:tc>
        <w:tc>
          <w:tcPr>
            <w:tcW w:w="2164" w:type="dxa"/>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55068,1</w:t>
            </w:r>
          </w:p>
        </w:tc>
        <w:tc>
          <w:tcPr>
            <w:tcW w:w="1304" w:type="dxa"/>
          </w:tcPr>
          <w:p>
            <w:pPr>
              <w:pStyle w:val="0"/>
              <w:jc w:val="center"/>
            </w:pPr>
            <w:r>
              <w:rPr>
                <w:sz w:val="20"/>
              </w:rPr>
            </w:r>
          </w:p>
        </w:tc>
        <w:tc>
          <w:tcPr>
            <w:tcW w:w="1192" w:type="dxa"/>
          </w:tcPr>
          <w:p>
            <w:pPr>
              <w:pStyle w:val="0"/>
              <w:jc w:val="center"/>
            </w:pPr>
            <w:r>
              <w:rPr>
                <w:sz w:val="20"/>
              </w:rPr>
              <w:t xml:space="preserve">44590,1</w:t>
            </w:r>
          </w:p>
        </w:tc>
        <w:tc>
          <w:tcPr>
            <w:tcW w:w="1084" w:type="dxa"/>
          </w:tcPr>
          <w:p>
            <w:pPr>
              <w:pStyle w:val="0"/>
              <w:jc w:val="center"/>
            </w:pPr>
            <w:r>
              <w:rPr>
                <w:sz w:val="20"/>
              </w:rPr>
              <w:t xml:space="preserve">10478,0</w:t>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w:t>
            </w:r>
          </w:p>
        </w:tc>
        <w:tc>
          <w:tcPr>
            <w:tcW w:w="1191" w:type="dxa"/>
          </w:tcPr>
          <w:p>
            <w:pPr>
              <w:pStyle w:val="0"/>
              <w:jc w:val="center"/>
            </w:pPr>
            <w:r>
              <w:rPr>
                <w:sz w:val="20"/>
              </w:rPr>
              <w:t xml:space="preserve">55068,1</w:t>
            </w:r>
          </w:p>
        </w:tc>
        <w:tc>
          <w:tcPr>
            <w:tcW w:w="1304" w:type="dxa"/>
          </w:tcPr>
          <w:p>
            <w:pPr>
              <w:pStyle w:val="0"/>
              <w:jc w:val="center"/>
            </w:pPr>
            <w:r>
              <w:rPr>
                <w:sz w:val="20"/>
              </w:rPr>
            </w:r>
          </w:p>
        </w:tc>
        <w:tc>
          <w:tcPr>
            <w:tcW w:w="1192" w:type="dxa"/>
          </w:tcPr>
          <w:p>
            <w:pPr>
              <w:pStyle w:val="0"/>
              <w:jc w:val="center"/>
            </w:pPr>
            <w:r>
              <w:rPr>
                <w:sz w:val="20"/>
              </w:rPr>
              <w:t xml:space="preserve">44590,1</w:t>
            </w:r>
          </w:p>
        </w:tc>
        <w:tc>
          <w:tcPr>
            <w:tcW w:w="1084" w:type="dxa"/>
          </w:tcPr>
          <w:p>
            <w:pPr>
              <w:pStyle w:val="0"/>
              <w:jc w:val="center"/>
            </w:pPr>
            <w:r>
              <w:rPr>
                <w:sz w:val="20"/>
              </w:rPr>
              <w:t xml:space="preserve">10478,0</w:t>
            </w:r>
          </w:p>
        </w:tc>
        <w:tc>
          <w:tcPr>
            <w:tcW w:w="1228" w:type="dxa"/>
          </w:tcPr>
          <w:p>
            <w:pPr>
              <w:pStyle w:val="0"/>
              <w:jc w:val="center"/>
            </w:pPr>
            <w:r>
              <w:rPr>
                <w:sz w:val="20"/>
              </w:rPr>
            </w:r>
          </w:p>
        </w:tc>
      </w:tr>
      <w:tr>
        <w:tc>
          <w:tcPr>
            <w:gridSpan w:val="8"/>
            <w:tcW w:w="12026" w:type="dxa"/>
          </w:tcPr>
          <w:p>
            <w:pPr>
              <w:pStyle w:val="0"/>
              <w:jc w:val="center"/>
            </w:pPr>
            <w:r>
              <w:rPr>
                <w:sz w:val="20"/>
              </w:rPr>
              <w:t xml:space="preserve">Процессная часть</w:t>
            </w:r>
          </w:p>
        </w:tc>
      </w:tr>
      <w:tr>
        <w:tc>
          <w:tcPr>
            <w:tcW w:w="2551" w:type="dxa"/>
          </w:tcPr>
          <w:p>
            <w:pPr>
              <w:pStyle w:val="0"/>
            </w:pPr>
            <w:r>
              <w:rPr>
                <w:sz w:val="20"/>
              </w:rPr>
              <w:t xml:space="preserve">Комплекс процессных мероприятий "Развитие туристского потенциала Ленинградской области"</w:t>
            </w:r>
          </w:p>
        </w:tc>
        <w:tc>
          <w:tcPr>
            <w:tcW w:w="2164" w:type="dxa"/>
          </w:tcPr>
          <w:p>
            <w:pPr>
              <w:pStyle w:val="0"/>
            </w:pPr>
            <w:r>
              <w:rPr>
                <w:sz w:val="20"/>
              </w:rPr>
              <w:t xml:space="preserve">Комитет</w:t>
            </w:r>
          </w:p>
        </w:tc>
        <w:tc>
          <w:tcPr>
            <w:tcW w:w="1312" w:type="dxa"/>
          </w:tcPr>
          <w:p>
            <w:pPr>
              <w:pStyle w:val="0"/>
              <w:jc w:val="center"/>
            </w:pPr>
            <w:r>
              <w:rPr>
                <w:sz w:val="20"/>
              </w:rPr>
              <w:t xml:space="preserve">2022</w:t>
            </w:r>
          </w:p>
        </w:tc>
        <w:tc>
          <w:tcPr>
            <w:tcW w:w="1191" w:type="dxa"/>
          </w:tcPr>
          <w:p>
            <w:pPr>
              <w:pStyle w:val="0"/>
              <w:jc w:val="center"/>
            </w:pPr>
            <w:r>
              <w:rPr>
                <w:sz w:val="20"/>
              </w:rPr>
              <w:t xml:space="preserve">119262,73</w:t>
            </w:r>
          </w:p>
        </w:tc>
        <w:tc>
          <w:tcPr>
            <w:tcW w:w="1304" w:type="dxa"/>
          </w:tcPr>
          <w:p>
            <w:pPr>
              <w:pStyle w:val="0"/>
              <w:jc w:val="center"/>
            </w:pPr>
            <w:r>
              <w:rPr>
                <w:sz w:val="20"/>
              </w:rPr>
            </w:r>
          </w:p>
        </w:tc>
        <w:tc>
          <w:tcPr>
            <w:tcW w:w="1192" w:type="dxa"/>
          </w:tcPr>
          <w:p>
            <w:pPr>
              <w:pStyle w:val="0"/>
              <w:jc w:val="center"/>
            </w:pPr>
            <w:r>
              <w:rPr>
                <w:sz w:val="20"/>
              </w:rPr>
              <w:t xml:space="preserve">119262,73</w:t>
            </w:r>
          </w:p>
        </w:tc>
        <w:tc>
          <w:tcPr>
            <w:tcW w:w="1084" w:type="dxa"/>
          </w:tcPr>
          <w:p>
            <w:pPr>
              <w:pStyle w:val="0"/>
              <w:jc w:val="center"/>
            </w:pPr>
            <w:r>
              <w:rPr>
                <w:sz w:val="20"/>
              </w:rPr>
            </w:r>
          </w:p>
        </w:tc>
        <w:tc>
          <w:tcPr>
            <w:tcW w:w="1228" w:type="dxa"/>
          </w:tcPr>
          <w:p>
            <w:pPr>
              <w:pStyle w:val="0"/>
              <w:jc w:val="center"/>
            </w:pPr>
            <w:r>
              <w:rPr>
                <w:sz w:val="20"/>
              </w:rPr>
            </w:r>
          </w:p>
        </w:tc>
      </w:tr>
      <w:tr>
        <w:tc>
          <w:tcPr>
            <w:tcW w:w="2551" w:type="dxa"/>
          </w:tcPr>
          <w:p>
            <w:pPr>
              <w:pStyle w:val="0"/>
            </w:pPr>
            <w:r>
              <w:rPr>
                <w:sz w:val="20"/>
              </w:rPr>
              <w:t xml:space="preserve">Итого</w:t>
            </w:r>
          </w:p>
        </w:tc>
        <w:tc>
          <w:tcPr>
            <w:tcW w:w="2164" w:type="dxa"/>
          </w:tcPr>
          <w:p>
            <w:pPr>
              <w:pStyle w:val="0"/>
            </w:pPr>
            <w:r>
              <w:rPr>
                <w:sz w:val="20"/>
              </w:rPr>
            </w:r>
          </w:p>
        </w:tc>
        <w:tc>
          <w:tcPr>
            <w:tcW w:w="1312" w:type="dxa"/>
          </w:tcPr>
          <w:p>
            <w:pPr>
              <w:pStyle w:val="0"/>
              <w:jc w:val="center"/>
            </w:pPr>
            <w:r>
              <w:rPr>
                <w:sz w:val="20"/>
              </w:rPr>
              <w:t xml:space="preserve">2022</w:t>
            </w:r>
          </w:p>
        </w:tc>
        <w:tc>
          <w:tcPr>
            <w:tcW w:w="1191" w:type="dxa"/>
          </w:tcPr>
          <w:p>
            <w:pPr>
              <w:pStyle w:val="0"/>
              <w:jc w:val="center"/>
            </w:pPr>
            <w:r>
              <w:rPr>
                <w:sz w:val="20"/>
              </w:rPr>
              <w:t xml:space="preserve">119262,73</w:t>
            </w:r>
          </w:p>
        </w:tc>
        <w:tc>
          <w:tcPr>
            <w:tcW w:w="1304" w:type="dxa"/>
          </w:tcPr>
          <w:p>
            <w:pPr>
              <w:pStyle w:val="0"/>
              <w:jc w:val="center"/>
            </w:pPr>
            <w:r>
              <w:rPr>
                <w:sz w:val="20"/>
              </w:rPr>
            </w:r>
          </w:p>
        </w:tc>
        <w:tc>
          <w:tcPr>
            <w:tcW w:w="1192" w:type="dxa"/>
          </w:tcPr>
          <w:p>
            <w:pPr>
              <w:pStyle w:val="0"/>
              <w:jc w:val="center"/>
            </w:pPr>
            <w:r>
              <w:rPr>
                <w:sz w:val="20"/>
              </w:rPr>
              <w:t xml:space="preserve">119262,73</w:t>
            </w:r>
          </w:p>
        </w:tc>
        <w:tc>
          <w:tcPr>
            <w:tcW w:w="1084" w:type="dxa"/>
          </w:tcPr>
          <w:p>
            <w:pPr>
              <w:pStyle w:val="0"/>
              <w:jc w:val="center"/>
            </w:pPr>
            <w:r>
              <w:rPr>
                <w:sz w:val="20"/>
              </w:rPr>
            </w:r>
          </w:p>
        </w:tc>
        <w:tc>
          <w:tcPr>
            <w:tcW w:w="1228" w:type="dxa"/>
          </w:tcPr>
          <w:p>
            <w:pPr>
              <w:pStyle w:val="0"/>
              <w:jc w:val="center"/>
            </w:pPr>
            <w:r>
              <w:rPr>
                <w:sz w:val="20"/>
              </w:rPr>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4</w:t>
      </w:r>
    </w:p>
    <w:p>
      <w:pPr>
        <w:pStyle w:val="0"/>
      </w:pPr>
      <w:r>
        <w:rPr>
          <w:sz w:val="20"/>
        </w:rPr>
      </w:r>
    </w:p>
    <w:p>
      <w:pPr>
        <w:pStyle w:val="2"/>
        <w:jc w:val="center"/>
      </w:pPr>
      <w:r>
        <w:rPr>
          <w:sz w:val="20"/>
        </w:rPr>
        <w:t xml:space="preserve">СВЕДЕНИЯ</w:t>
      </w:r>
    </w:p>
    <w:p>
      <w:pPr>
        <w:pStyle w:val="2"/>
        <w:jc w:val="center"/>
      </w:pPr>
      <w:r>
        <w:rPr>
          <w:sz w:val="20"/>
        </w:rPr>
        <w:t xml:space="preserve">о налоговых расходах областного бюджета</w:t>
      </w:r>
    </w:p>
    <w:p>
      <w:pPr>
        <w:pStyle w:val="2"/>
        <w:jc w:val="center"/>
      </w:pPr>
      <w:r>
        <w:rPr>
          <w:sz w:val="20"/>
        </w:rPr>
        <w:t xml:space="preserve">Ленинградской области, направленных на достижение цели</w:t>
      </w:r>
    </w:p>
    <w:p>
      <w:pPr>
        <w:pStyle w:val="2"/>
        <w:jc w:val="center"/>
      </w:pPr>
      <w:r>
        <w:rPr>
          <w:sz w:val="20"/>
        </w:rPr>
        <w:t xml:space="preserve">государственной программы Ленинградской области "Развитие</w:t>
      </w:r>
    </w:p>
    <w:p>
      <w:pPr>
        <w:pStyle w:val="2"/>
        <w:jc w:val="center"/>
      </w:pPr>
      <w:r>
        <w:rPr>
          <w:sz w:val="20"/>
        </w:rPr>
        <w:t xml:space="preserve">внутреннего и въездного туризма в Ленинградской области"</w:t>
      </w:r>
    </w:p>
    <w:p>
      <w:pPr>
        <w:pStyle w:val="0"/>
        <w:jc w:val="center"/>
      </w:pPr>
      <w:r>
        <w:rPr>
          <w:sz w:val="20"/>
        </w:rPr>
        <w:t xml:space="preserve">(в ред. </w:t>
      </w:r>
      <w:hyperlink w:history="0" r:id="rId77"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30.12.2022 N 1013)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2044"/>
        <w:gridCol w:w="2665"/>
        <w:gridCol w:w="1852"/>
        <w:gridCol w:w="850"/>
        <w:gridCol w:w="1417"/>
        <w:gridCol w:w="454"/>
        <w:gridCol w:w="1417"/>
        <w:gridCol w:w="1191"/>
      </w:tblGrid>
      <w:tr>
        <w:tc>
          <w:tcPr>
            <w:tcW w:w="1701" w:type="dxa"/>
          </w:tcPr>
          <w:p>
            <w:pPr>
              <w:pStyle w:val="0"/>
              <w:jc w:val="center"/>
            </w:pPr>
            <w:r>
              <w:rPr>
                <w:sz w:val="20"/>
              </w:rPr>
              <w:t xml:space="preserve">Наименование налога, по которому предусматривается налоговая льгота</w:t>
            </w:r>
          </w:p>
        </w:tc>
        <w:tc>
          <w:tcPr>
            <w:tcW w:w="2044" w:type="dxa"/>
          </w:tcPr>
          <w:p>
            <w:pPr>
              <w:pStyle w:val="0"/>
              <w:jc w:val="center"/>
            </w:pPr>
            <w:r>
              <w:rPr>
                <w:sz w:val="20"/>
              </w:rPr>
              <w:t xml:space="preserve">Реквизиты нормативного правового акта, устанавливающего налоговую льготу</w:t>
            </w:r>
          </w:p>
        </w:tc>
        <w:tc>
          <w:tcPr>
            <w:tcW w:w="2665" w:type="dxa"/>
          </w:tcPr>
          <w:p>
            <w:pPr>
              <w:pStyle w:val="0"/>
              <w:jc w:val="center"/>
            </w:pPr>
            <w:r>
              <w:rPr>
                <w:sz w:val="20"/>
              </w:rPr>
              <w:t xml:space="preserve">Целевая категория налогоплательщиков</w:t>
            </w:r>
          </w:p>
        </w:tc>
        <w:tc>
          <w:tcPr>
            <w:tcW w:w="1852" w:type="dxa"/>
          </w:tcPr>
          <w:p>
            <w:pPr>
              <w:pStyle w:val="0"/>
              <w:jc w:val="center"/>
            </w:pPr>
            <w:r>
              <w:rPr>
                <w:sz w:val="20"/>
              </w:rPr>
              <w:t xml:space="preserve">Показатели достижения целей государственной программы</w:t>
            </w:r>
          </w:p>
        </w:tc>
        <w:tc>
          <w:tcPr>
            <w:tcW w:w="850" w:type="dxa"/>
          </w:tcPr>
          <w:p>
            <w:pPr>
              <w:pStyle w:val="0"/>
              <w:jc w:val="center"/>
            </w:pPr>
            <w:r>
              <w:rPr>
                <w:sz w:val="20"/>
              </w:rPr>
              <w:t xml:space="preserve">Финансовый год</w:t>
            </w:r>
          </w:p>
        </w:tc>
        <w:tc>
          <w:tcPr>
            <w:gridSpan w:val="2"/>
            <w:tcW w:w="1871" w:type="dxa"/>
          </w:tcPr>
          <w:p>
            <w:pPr>
              <w:pStyle w:val="0"/>
              <w:jc w:val="center"/>
            </w:pPr>
            <w:r>
              <w:rPr>
                <w:sz w:val="20"/>
              </w:rPr>
              <w:t xml:space="preserve">Численность плательщиков налога, воспользовавшихся льготой (ед.)</w:t>
            </w:r>
          </w:p>
        </w:tc>
        <w:tc>
          <w:tcPr>
            <w:gridSpan w:val="2"/>
            <w:tcW w:w="2608" w:type="dxa"/>
          </w:tcPr>
          <w:p>
            <w:pPr>
              <w:pStyle w:val="0"/>
              <w:jc w:val="center"/>
            </w:pPr>
            <w:r>
              <w:rPr>
                <w:sz w:val="20"/>
              </w:rPr>
              <w:t xml:space="preserve">Размер налогового расхода (тыс. руб.)</w:t>
            </w:r>
          </w:p>
        </w:tc>
      </w:tr>
      <w:tr>
        <w:tc>
          <w:tcPr>
            <w:tcW w:w="1701" w:type="dxa"/>
          </w:tcPr>
          <w:p>
            <w:pPr>
              <w:pStyle w:val="0"/>
              <w:jc w:val="center"/>
            </w:pPr>
            <w:r>
              <w:rPr>
                <w:sz w:val="20"/>
              </w:rPr>
              <w:t xml:space="preserve">1</w:t>
            </w:r>
          </w:p>
        </w:tc>
        <w:tc>
          <w:tcPr>
            <w:tcW w:w="2044" w:type="dxa"/>
          </w:tcPr>
          <w:p>
            <w:pPr>
              <w:pStyle w:val="0"/>
              <w:jc w:val="center"/>
            </w:pPr>
            <w:r>
              <w:rPr>
                <w:sz w:val="20"/>
              </w:rPr>
              <w:t xml:space="preserve">2</w:t>
            </w:r>
          </w:p>
        </w:tc>
        <w:tc>
          <w:tcPr>
            <w:tcW w:w="2665" w:type="dxa"/>
          </w:tcPr>
          <w:p>
            <w:pPr>
              <w:pStyle w:val="0"/>
              <w:jc w:val="center"/>
            </w:pPr>
            <w:r>
              <w:rPr>
                <w:sz w:val="20"/>
              </w:rPr>
              <w:t xml:space="preserve">3</w:t>
            </w:r>
          </w:p>
        </w:tc>
        <w:tc>
          <w:tcPr>
            <w:tcW w:w="1852" w:type="dxa"/>
          </w:tcPr>
          <w:p>
            <w:pPr>
              <w:pStyle w:val="0"/>
              <w:jc w:val="center"/>
            </w:pPr>
            <w:r>
              <w:rPr>
                <w:sz w:val="20"/>
              </w:rPr>
              <w:t xml:space="preserve">4</w:t>
            </w:r>
          </w:p>
        </w:tc>
        <w:tc>
          <w:tcPr>
            <w:tcW w:w="850" w:type="dxa"/>
          </w:tcPr>
          <w:p>
            <w:pPr>
              <w:pStyle w:val="0"/>
              <w:jc w:val="center"/>
            </w:pPr>
            <w:r>
              <w:rPr>
                <w:sz w:val="20"/>
              </w:rPr>
              <w:t xml:space="preserve">5</w:t>
            </w:r>
          </w:p>
        </w:tc>
        <w:tc>
          <w:tcPr>
            <w:gridSpan w:val="2"/>
            <w:tcW w:w="1871" w:type="dxa"/>
          </w:tcPr>
          <w:p>
            <w:pPr>
              <w:pStyle w:val="0"/>
              <w:jc w:val="center"/>
            </w:pPr>
            <w:r>
              <w:rPr>
                <w:sz w:val="20"/>
              </w:rPr>
              <w:t xml:space="preserve">6</w:t>
            </w:r>
          </w:p>
        </w:tc>
        <w:tc>
          <w:tcPr>
            <w:gridSpan w:val="2"/>
            <w:tcW w:w="2608" w:type="dxa"/>
          </w:tcPr>
          <w:p>
            <w:pPr>
              <w:pStyle w:val="0"/>
              <w:jc w:val="center"/>
            </w:pPr>
            <w:r>
              <w:rPr>
                <w:sz w:val="20"/>
              </w:rPr>
              <w:t xml:space="preserve">7</w:t>
            </w:r>
          </w:p>
        </w:tc>
      </w:tr>
      <w:tr>
        <w:tc>
          <w:tcPr>
            <w:tcW w:w="1701" w:type="dxa"/>
            <w:vMerge w:val="restart"/>
          </w:tcPr>
          <w:p>
            <w:pPr>
              <w:pStyle w:val="0"/>
            </w:pPr>
            <w:r>
              <w:rPr>
                <w:sz w:val="20"/>
              </w:rPr>
              <w:t xml:space="preserve">Налог на имущество</w:t>
            </w:r>
          </w:p>
        </w:tc>
        <w:tc>
          <w:tcPr>
            <w:tcW w:w="2044" w:type="dxa"/>
            <w:vMerge w:val="restart"/>
          </w:tcPr>
          <w:p>
            <w:pPr>
              <w:pStyle w:val="0"/>
            </w:pPr>
            <w:r>
              <w:rPr>
                <w:sz w:val="20"/>
              </w:rPr>
              <w:t xml:space="preserve">Областной закон от 25 ноября 2003 года N 98-оз "О налоге на имущество организаций" (</w:t>
            </w:r>
            <w:hyperlink w:history="0" r:id="rId78" w:tooltip="Областной закон Ленинградской области от 25.11.2003 N 98-оз (ред. от 17.11.2023) &quot;О налоге на имущество организаций&quot; (принят ЗС ЛО 25.11.2003) {КонсультантПлюс}">
              <w:r>
                <w:rPr>
                  <w:sz w:val="20"/>
                  <w:color w:val="0000ff"/>
                </w:rPr>
                <w:t xml:space="preserve">статья 3-1, часть 1, пункты "е-1"</w:t>
              </w:r>
            </w:hyperlink>
            <w:r>
              <w:rPr>
                <w:sz w:val="20"/>
              </w:rPr>
              <w:t xml:space="preserve">, </w:t>
            </w:r>
            <w:hyperlink w:history="0" r:id="rId79" w:tooltip="Областной закон Ленинградской области от 25.11.2003 N 98-оз (ред. от 17.11.2023) &quot;О налоге на имущество организаций&quot; (принят ЗС ЛО 25.11.2003) {КонсультантПлюс}">
              <w:r>
                <w:rPr>
                  <w:sz w:val="20"/>
                  <w:color w:val="0000ff"/>
                </w:rPr>
                <w:t xml:space="preserve">"е-3"</w:t>
              </w:r>
            </w:hyperlink>
            <w:r>
              <w:rPr>
                <w:sz w:val="20"/>
              </w:rPr>
              <w:t xml:space="preserve">, </w:t>
            </w:r>
            <w:hyperlink w:history="0" r:id="rId80" w:tooltip="Областной закон Ленинградской области от 25.11.2003 N 98-оз (ред. от 17.11.2023) &quot;О налоге на имущество организаций&quot; (принят ЗС ЛО 25.11.2003) {КонсультантПлюс}">
              <w:r>
                <w:rPr>
                  <w:sz w:val="20"/>
                  <w:color w:val="0000ff"/>
                </w:rPr>
                <w:t xml:space="preserve">часть 2, пункт "з"</w:t>
              </w:r>
            </w:hyperlink>
            <w:r>
              <w:rPr>
                <w:sz w:val="20"/>
              </w:rPr>
              <w:t xml:space="preserve">)</w:t>
            </w:r>
          </w:p>
        </w:tc>
        <w:tc>
          <w:tcPr>
            <w:tcW w:w="2665" w:type="dxa"/>
            <w:vMerge w:val="restart"/>
          </w:tcPr>
          <w:p>
            <w:pPr>
              <w:pStyle w:val="0"/>
            </w:pPr>
            <w:r>
              <w:rPr>
                <w:sz w:val="20"/>
              </w:rPr>
              <w:t xml:space="preserve">Все организации, осуществившие не ранее 1 января 2013 года вложения в приобретение, создание, реконструкцию объектов основных средств, расположенных на территории земельных участков, включенных в туристско-рекреационные зоны регионального значения, в размере не менее</w:t>
            </w:r>
          </w:p>
        </w:tc>
        <w:tc>
          <w:tcPr>
            <w:tcW w:w="1852" w:type="dxa"/>
            <w:vMerge w:val="restart"/>
          </w:tcPr>
          <w:p>
            <w:pPr>
              <w:pStyle w:val="0"/>
            </w:pPr>
            <w:r>
              <w:rPr>
                <w:sz w:val="20"/>
              </w:rPr>
              <w:t xml:space="preserve">Количество созданных за период объектов туристской инфраструктуры</w:t>
            </w:r>
          </w:p>
        </w:tc>
        <w:tc>
          <w:tcPr>
            <w:tcW w:w="850" w:type="dxa"/>
          </w:tcPr>
          <w:p>
            <w:pPr>
              <w:pStyle w:val="0"/>
              <w:jc w:val="center"/>
            </w:pPr>
            <w:r>
              <w:rPr>
                <w:sz w:val="20"/>
              </w:rPr>
              <w:t xml:space="preserve">2020</w:t>
            </w:r>
          </w:p>
        </w:tc>
        <w:tc>
          <w:tcPr>
            <w:tcW w:w="1417" w:type="dxa"/>
          </w:tcPr>
          <w:p>
            <w:pPr>
              <w:pStyle w:val="0"/>
            </w:pPr>
            <w:r>
              <w:rPr>
                <w:sz w:val="20"/>
              </w:rPr>
              <w:t xml:space="preserve">фактическое значение</w:t>
            </w:r>
          </w:p>
        </w:tc>
        <w:tc>
          <w:tcPr>
            <w:tcW w:w="454" w:type="dxa"/>
          </w:tcPr>
          <w:p>
            <w:pPr>
              <w:pStyle w:val="0"/>
              <w:jc w:val="center"/>
            </w:pPr>
            <w:r>
              <w:rPr>
                <w:sz w:val="20"/>
              </w:rPr>
              <w:t xml:space="preserve">3</w:t>
            </w:r>
          </w:p>
        </w:tc>
        <w:tc>
          <w:tcPr>
            <w:tcW w:w="1417" w:type="dxa"/>
          </w:tcPr>
          <w:p>
            <w:pPr>
              <w:pStyle w:val="0"/>
            </w:pPr>
            <w:r>
              <w:rPr>
                <w:sz w:val="20"/>
              </w:rPr>
              <w:t xml:space="preserve">фактическое значение</w:t>
            </w:r>
          </w:p>
        </w:tc>
        <w:tc>
          <w:tcPr>
            <w:tcW w:w="1191" w:type="dxa"/>
          </w:tcPr>
          <w:p>
            <w:pPr>
              <w:pStyle w:val="0"/>
              <w:jc w:val="center"/>
            </w:pPr>
            <w:r>
              <w:rPr>
                <w:sz w:val="20"/>
              </w:rPr>
              <w:t xml:space="preserve">183125,0</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2021</w:t>
            </w:r>
          </w:p>
        </w:tc>
        <w:tc>
          <w:tcPr>
            <w:tcW w:w="1417" w:type="dxa"/>
          </w:tcPr>
          <w:p>
            <w:pPr>
              <w:pStyle w:val="0"/>
            </w:pPr>
            <w:r>
              <w:rPr>
                <w:sz w:val="20"/>
              </w:rPr>
              <w:t xml:space="preserve">фактическое значение</w:t>
            </w:r>
          </w:p>
        </w:tc>
        <w:tc>
          <w:tcPr>
            <w:tcW w:w="454" w:type="dxa"/>
          </w:tcPr>
          <w:p>
            <w:pPr>
              <w:pStyle w:val="0"/>
              <w:jc w:val="center"/>
            </w:pPr>
            <w:r>
              <w:rPr>
                <w:sz w:val="20"/>
              </w:rPr>
              <w:t xml:space="preserve">3</w:t>
            </w:r>
          </w:p>
        </w:tc>
        <w:tc>
          <w:tcPr>
            <w:tcW w:w="1417" w:type="dxa"/>
          </w:tcPr>
          <w:p>
            <w:pPr>
              <w:pStyle w:val="0"/>
            </w:pPr>
            <w:r>
              <w:rPr>
                <w:sz w:val="20"/>
              </w:rPr>
              <w:t xml:space="preserve">фактическое значение (оценка)</w:t>
            </w:r>
          </w:p>
        </w:tc>
        <w:tc>
          <w:tcPr>
            <w:tcW w:w="1191" w:type="dxa"/>
          </w:tcPr>
          <w:p>
            <w:pPr>
              <w:pStyle w:val="0"/>
              <w:jc w:val="center"/>
            </w:pPr>
            <w:r>
              <w:rPr>
                <w:sz w:val="20"/>
              </w:rPr>
              <w:t xml:space="preserve">114404,0</w:t>
            </w:r>
          </w:p>
        </w:tc>
      </w:tr>
      <w:tr>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2022</w:t>
            </w:r>
          </w:p>
        </w:tc>
        <w:tc>
          <w:tcPr>
            <w:tcW w:w="1417" w:type="dxa"/>
          </w:tcPr>
          <w:p>
            <w:pPr>
              <w:pStyle w:val="0"/>
            </w:pPr>
            <w:r>
              <w:rPr>
                <w:sz w:val="20"/>
              </w:rPr>
              <w:t xml:space="preserve">плановое значение</w:t>
            </w:r>
          </w:p>
        </w:tc>
        <w:tc>
          <w:tcPr>
            <w:tcW w:w="454" w:type="dxa"/>
          </w:tcPr>
          <w:p>
            <w:pPr>
              <w:pStyle w:val="0"/>
              <w:jc w:val="center"/>
            </w:pPr>
            <w:r>
              <w:rPr>
                <w:sz w:val="20"/>
              </w:rPr>
              <w:t xml:space="preserve">2</w:t>
            </w:r>
          </w:p>
        </w:tc>
        <w:tc>
          <w:tcPr>
            <w:tcW w:w="1417" w:type="dxa"/>
          </w:tcPr>
          <w:p>
            <w:pPr>
              <w:pStyle w:val="0"/>
            </w:pPr>
            <w:r>
              <w:rPr>
                <w:sz w:val="20"/>
              </w:rPr>
              <w:t xml:space="preserve">плановое значение</w:t>
            </w:r>
          </w:p>
        </w:tc>
        <w:tc>
          <w:tcPr>
            <w:tcW w:w="1191" w:type="dxa"/>
          </w:tcPr>
          <w:p>
            <w:pPr>
              <w:pStyle w:val="0"/>
              <w:jc w:val="center"/>
            </w:pPr>
            <w:r>
              <w:rPr>
                <w:sz w:val="20"/>
              </w:rPr>
              <w:t xml:space="preserve">183250,0</w:t>
            </w:r>
          </w:p>
        </w:tc>
      </w:tr>
      <w:tr>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pPr>
            <w:r>
              <w:rPr>
                <w:sz w:val="20"/>
              </w:rPr>
              <w:t xml:space="preserve">фактическое значение</w:t>
            </w:r>
          </w:p>
        </w:tc>
        <w:tc>
          <w:tcPr>
            <w:tcW w:w="454" w:type="dxa"/>
          </w:tcPr>
          <w:p>
            <w:pPr>
              <w:pStyle w:val="0"/>
              <w:jc w:val="center"/>
            </w:pPr>
            <w:r>
              <w:rPr>
                <w:sz w:val="20"/>
              </w:rPr>
            </w:r>
          </w:p>
        </w:tc>
        <w:tc>
          <w:tcPr>
            <w:tcW w:w="1417" w:type="dxa"/>
          </w:tcPr>
          <w:p>
            <w:pPr>
              <w:pStyle w:val="0"/>
            </w:pPr>
            <w:r>
              <w:rPr>
                <w:sz w:val="20"/>
              </w:rPr>
              <w:t xml:space="preserve">фактическое значение</w:t>
            </w:r>
          </w:p>
        </w:tc>
        <w:tc>
          <w:tcPr>
            <w:tcW w:w="1191"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2023</w:t>
            </w:r>
          </w:p>
        </w:tc>
        <w:tc>
          <w:tcPr>
            <w:tcW w:w="1417" w:type="dxa"/>
          </w:tcPr>
          <w:p>
            <w:pPr>
              <w:pStyle w:val="0"/>
            </w:pPr>
            <w:r>
              <w:rPr>
                <w:sz w:val="20"/>
              </w:rPr>
              <w:t xml:space="preserve">плановое значение</w:t>
            </w:r>
          </w:p>
        </w:tc>
        <w:tc>
          <w:tcPr>
            <w:tcW w:w="454" w:type="dxa"/>
          </w:tcPr>
          <w:p>
            <w:pPr>
              <w:pStyle w:val="0"/>
              <w:jc w:val="center"/>
            </w:pPr>
            <w:r>
              <w:rPr>
                <w:sz w:val="20"/>
              </w:rPr>
              <w:t xml:space="preserve">2</w:t>
            </w:r>
          </w:p>
        </w:tc>
        <w:tc>
          <w:tcPr>
            <w:tcW w:w="1417" w:type="dxa"/>
          </w:tcPr>
          <w:p>
            <w:pPr>
              <w:pStyle w:val="0"/>
            </w:pPr>
            <w:r>
              <w:rPr>
                <w:sz w:val="20"/>
              </w:rPr>
              <w:t xml:space="preserve">плановое значение</w:t>
            </w:r>
          </w:p>
        </w:tc>
        <w:tc>
          <w:tcPr>
            <w:tcW w:w="1191" w:type="dxa"/>
          </w:tcPr>
          <w:p>
            <w:pPr>
              <w:pStyle w:val="0"/>
              <w:jc w:val="center"/>
            </w:pPr>
            <w:r>
              <w:rPr>
                <w:sz w:val="20"/>
              </w:rPr>
              <w:t xml:space="preserve">184372,0</w:t>
            </w:r>
          </w:p>
        </w:tc>
      </w:tr>
      <w:tr>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pPr>
            <w:r>
              <w:rPr>
                <w:sz w:val="20"/>
              </w:rPr>
              <w:t xml:space="preserve">фактическое значение</w:t>
            </w:r>
          </w:p>
        </w:tc>
        <w:tc>
          <w:tcPr>
            <w:tcW w:w="454" w:type="dxa"/>
          </w:tcPr>
          <w:p>
            <w:pPr>
              <w:pStyle w:val="0"/>
              <w:jc w:val="center"/>
            </w:pPr>
            <w:r>
              <w:rPr>
                <w:sz w:val="20"/>
              </w:rPr>
            </w:r>
          </w:p>
        </w:tc>
        <w:tc>
          <w:tcPr>
            <w:tcW w:w="1417" w:type="dxa"/>
          </w:tcPr>
          <w:p>
            <w:pPr>
              <w:pStyle w:val="0"/>
            </w:pPr>
            <w:r>
              <w:rPr>
                <w:sz w:val="20"/>
              </w:rPr>
              <w:t xml:space="preserve">фактическое значение</w:t>
            </w:r>
          </w:p>
        </w:tc>
        <w:tc>
          <w:tcPr>
            <w:tcW w:w="1191"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2024</w:t>
            </w:r>
          </w:p>
        </w:tc>
        <w:tc>
          <w:tcPr>
            <w:tcW w:w="1417" w:type="dxa"/>
          </w:tcPr>
          <w:p>
            <w:pPr>
              <w:pStyle w:val="0"/>
            </w:pPr>
            <w:r>
              <w:rPr>
                <w:sz w:val="20"/>
              </w:rPr>
              <w:t xml:space="preserve">плановое значение</w:t>
            </w:r>
          </w:p>
        </w:tc>
        <w:tc>
          <w:tcPr>
            <w:tcW w:w="454" w:type="dxa"/>
          </w:tcPr>
          <w:p>
            <w:pPr>
              <w:pStyle w:val="0"/>
              <w:jc w:val="center"/>
            </w:pPr>
            <w:r>
              <w:rPr>
                <w:sz w:val="20"/>
              </w:rPr>
              <w:t xml:space="preserve">2</w:t>
            </w:r>
          </w:p>
        </w:tc>
        <w:tc>
          <w:tcPr>
            <w:tcW w:w="1417" w:type="dxa"/>
          </w:tcPr>
          <w:p>
            <w:pPr>
              <w:pStyle w:val="0"/>
            </w:pPr>
            <w:r>
              <w:rPr>
                <w:sz w:val="20"/>
              </w:rPr>
              <w:t xml:space="preserve">плановое значение</w:t>
            </w:r>
          </w:p>
        </w:tc>
        <w:tc>
          <w:tcPr>
            <w:tcW w:w="1191" w:type="dxa"/>
          </w:tcPr>
          <w:p>
            <w:pPr>
              <w:pStyle w:val="0"/>
              <w:jc w:val="center"/>
            </w:pPr>
            <w:r>
              <w:rPr>
                <w:sz w:val="20"/>
              </w:rPr>
              <w:t xml:space="preserve">207972,0</w:t>
            </w:r>
          </w:p>
        </w:tc>
      </w:tr>
      <w:tr>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pPr>
            <w:r>
              <w:rPr>
                <w:sz w:val="20"/>
              </w:rPr>
              <w:t xml:space="preserve">фактическое значение</w:t>
            </w:r>
          </w:p>
        </w:tc>
        <w:tc>
          <w:tcPr>
            <w:tcW w:w="454" w:type="dxa"/>
          </w:tcPr>
          <w:p>
            <w:pPr>
              <w:pStyle w:val="0"/>
              <w:jc w:val="center"/>
            </w:pPr>
            <w:r>
              <w:rPr>
                <w:sz w:val="20"/>
              </w:rPr>
            </w:r>
          </w:p>
        </w:tc>
        <w:tc>
          <w:tcPr>
            <w:tcW w:w="1417" w:type="dxa"/>
          </w:tcPr>
          <w:p>
            <w:pPr>
              <w:pStyle w:val="0"/>
            </w:pPr>
            <w:r>
              <w:rPr>
                <w:sz w:val="20"/>
              </w:rPr>
              <w:t xml:space="preserve">фактическое значение</w:t>
            </w:r>
          </w:p>
        </w:tc>
        <w:tc>
          <w:tcPr>
            <w:tcW w:w="1191" w:type="dxa"/>
          </w:tcPr>
          <w:p>
            <w:pPr>
              <w:pStyle w:val="0"/>
              <w:jc w:val="center"/>
            </w:pPr>
            <w:r>
              <w:rPr>
                <w:sz w:val="20"/>
              </w:rPr>
            </w:r>
          </w:p>
        </w:tc>
      </w:tr>
      <w:tr>
        <w:tc>
          <w:tcPr>
            <w:tcW w:w="1701" w:type="dxa"/>
            <w:vMerge w:val="restart"/>
          </w:tcPr>
          <w:p>
            <w:pPr>
              <w:pStyle w:val="0"/>
            </w:pPr>
            <w:r>
              <w:rPr>
                <w:sz w:val="20"/>
              </w:rPr>
            </w:r>
          </w:p>
        </w:tc>
        <w:tc>
          <w:tcPr>
            <w:tcW w:w="2044" w:type="dxa"/>
            <w:vMerge w:val="restart"/>
          </w:tcPr>
          <w:p>
            <w:pPr>
              <w:pStyle w:val="0"/>
            </w:pPr>
            <w:r>
              <w:rPr>
                <w:sz w:val="20"/>
              </w:rPr>
            </w:r>
          </w:p>
        </w:tc>
        <w:tc>
          <w:tcPr>
            <w:tcW w:w="2665" w:type="dxa"/>
            <w:vMerge w:val="restart"/>
          </w:tcPr>
          <w:p>
            <w:pPr>
              <w:pStyle w:val="0"/>
            </w:pPr>
            <w:r>
              <w:rPr>
                <w:sz w:val="20"/>
              </w:rPr>
              <w:t xml:space="preserve">300 млн рублей - в отношении имущества, предназначенного для оказания услуг в сфере туризма, спорта, отдыха и развлечений, занятий физической культурой и спортом, на пять налоговых периодов</w:t>
            </w:r>
          </w:p>
        </w:tc>
        <w:tc>
          <w:tcPr>
            <w:tcW w:w="1852" w:type="dxa"/>
            <w:vMerge w:val="restart"/>
          </w:tcPr>
          <w:p>
            <w:pPr>
              <w:pStyle w:val="0"/>
            </w:pPr>
            <w:r>
              <w:rPr>
                <w:sz w:val="20"/>
              </w:rPr>
            </w:r>
          </w:p>
        </w:tc>
        <w:tc>
          <w:tcPr>
            <w:tcW w:w="850" w:type="dxa"/>
            <w:vMerge w:val="restart"/>
          </w:tcPr>
          <w:p>
            <w:pPr>
              <w:pStyle w:val="0"/>
              <w:jc w:val="center"/>
            </w:pPr>
            <w:r>
              <w:rPr>
                <w:sz w:val="20"/>
              </w:rPr>
              <w:t xml:space="preserve">2025</w:t>
            </w:r>
          </w:p>
        </w:tc>
        <w:tc>
          <w:tcPr>
            <w:tcW w:w="1417" w:type="dxa"/>
          </w:tcPr>
          <w:p>
            <w:pPr>
              <w:pStyle w:val="0"/>
            </w:pPr>
            <w:r>
              <w:rPr>
                <w:sz w:val="20"/>
              </w:rPr>
              <w:t xml:space="preserve">плановое значение</w:t>
            </w:r>
          </w:p>
        </w:tc>
        <w:tc>
          <w:tcPr>
            <w:tcW w:w="454" w:type="dxa"/>
          </w:tcPr>
          <w:p>
            <w:pPr>
              <w:pStyle w:val="0"/>
              <w:jc w:val="center"/>
            </w:pPr>
            <w:r>
              <w:rPr>
                <w:sz w:val="20"/>
              </w:rPr>
              <w:t xml:space="preserve">2</w:t>
            </w:r>
          </w:p>
        </w:tc>
        <w:tc>
          <w:tcPr>
            <w:tcW w:w="1417" w:type="dxa"/>
          </w:tcPr>
          <w:p>
            <w:pPr>
              <w:pStyle w:val="0"/>
            </w:pPr>
            <w:r>
              <w:rPr>
                <w:sz w:val="20"/>
              </w:rPr>
              <w:t xml:space="preserve">плановое значение</w:t>
            </w:r>
          </w:p>
        </w:tc>
        <w:tc>
          <w:tcPr>
            <w:tcW w:w="1191" w:type="dxa"/>
          </w:tcPr>
          <w:p>
            <w:pPr>
              <w:pStyle w:val="0"/>
              <w:jc w:val="center"/>
            </w:pPr>
            <w:r>
              <w:rPr>
                <w:sz w:val="20"/>
              </w:rPr>
              <w:t xml:space="preserve">207972,0</w:t>
            </w:r>
          </w:p>
        </w:tc>
      </w:tr>
      <w:tr>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pPr>
            <w:r>
              <w:rPr>
                <w:sz w:val="20"/>
              </w:rPr>
              <w:t xml:space="preserve">фактическое значение</w:t>
            </w:r>
          </w:p>
        </w:tc>
        <w:tc>
          <w:tcPr>
            <w:tcW w:w="454" w:type="dxa"/>
          </w:tcPr>
          <w:p>
            <w:pPr>
              <w:pStyle w:val="0"/>
              <w:jc w:val="center"/>
            </w:pPr>
            <w:r>
              <w:rPr>
                <w:sz w:val="20"/>
              </w:rPr>
            </w:r>
          </w:p>
        </w:tc>
        <w:tc>
          <w:tcPr>
            <w:tcW w:w="1417" w:type="dxa"/>
          </w:tcPr>
          <w:p>
            <w:pPr>
              <w:pStyle w:val="0"/>
            </w:pPr>
            <w:r>
              <w:rPr>
                <w:sz w:val="20"/>
              </w:rPr>
              <w:t xml:space="preserve">фактическое значение</w:t>
            </w:r>
          </w:p>
        </w:tc>
        <w:tc>
          <w:tcPr>
            <w:tcW w:w="1191" w:type="dxa"/>
          </w:tcPr>
          <w:p>
            <w:pPr>
              <w:pStyle w:val="0"/>
              <w:jc w:val="center"/>
            </w:pPr>
            <w:r>
              <w:rPr>
                <w:sz w:val="20"/>
              </w:rPr>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both"/>
      </w:pPr>
      <w:r>
        <w:rPr>
          <w:sz w:val="20"/>
        </w:rPr>
      </w:r>
    </w:p>
    <w:bookmarkStart w:id="1274" w:name="P1274"/>
    <w:bookmarkEnd w:id="1274"/>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РЕАЛИЗАЦИЮ МЕРОПРИЯТИЙ</w:t>
      </w:r>
    </w:p>
    <w:p>
      <w:pPr>
        <w:pStyle w:val="2"/>
        <w:jc w:val="center"/>
      </w:pPr>
      <w:r>
        <w:rPr>
          <w:sz w:val="20"/>
        </w:rPr>
        <w:t xml:space="preserve">ПО СОЗДАНИЮ И РАЗВИТИЮ ИНФРАСТРУКТУРЫ АКТИВНЫХ ВИДОВ</w:t>
      </w:r>
    </w:p>
    <w:p>
      <w:pPr>
        <w:pStyle w:val="2"/>
        <w:jc w:val="center"/>
      </w:pPr>
      <w:r>
        <w:rPr>
          <w:sz w:val="20"/>
        </w:rPr>
        <w:t xml:space="preserve">ТУРИЗМА НА ТЕРРИТОРИИ МУНИЦИПАЛЬНЫХ ОБРАЗОВАНИЙ</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30.12.2022 </w:t>
            </w:r>
            <w:hyperlink w:history="0" r:id="rId81"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1013</w:t>
              </w:r>
            </w:hyperlink>
            <w:r>
              <w:rPr>
                <w:sz w:val="20"/>
                <w:color w:val="392c69"/>
              </w:rPr>
              <w:t xml:space="preserve">, от 27.03.2023 </w:t>
            </w:r>
            <w:hyperlink w:history="0" r:id="rId82"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рамках структурного элемента "Приоритетный проект "Вело 47" государственной программы Ленинградской области "Развитие внутреннего и въездного туризма в Ленинградской области" (далее - субсидии).</w:t>
      </w:r>
    </w:p>
    <w:p>
      <w:pPr>
        <w:pStyle w:val="0"/>
        <w:jc w:val="both"/>
      </w:pPr>
      <w:r>
        <w:rPr>
          <w:sz w:val="20"/>
        </w:rPr>
        <w:t xml:space="preserve">(в ред. </w:t>
      </w:r>
      <w:hyperlink w:history="0" r:id="rId83"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В целях настоящего Порядка под активными видами туризма понимается велотуризм - путешествия, походы и экскурсии, включающие прохождение маршрутов по равнинной и горной местностям на соответствующих средствах передвижения - велосипедах (ГОСТ Р 54601-2011 Туристские услуги. Безопасность активных видов туризма. Общие положения).</w:t>
      </w:r>
    </w:p>
    <w:p>
      <w:pPr>
        <w:pStyle w:val="0"/>
        <w:spacing w:before="200" w:line-rule="auto"/>
        <w:ind w:firstLine="540"/>
        <w:jc w:val="both"/>
      </w:pPr>
      <w:r>
        <w:rPr>
          <w:sz w:val="20"/>
        </w:rPr>
        <w:t xml:space="preserve">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pPr>
        <w:pStyle w:val="0"/>
        <w:spacing w:before="200" w:line-rule="auto"/>
        <w:ind w:firstLine="540"/>
        <w:jc w:val="both"/>
      </w:pPr>
      <w:r>
        <w:rPr>
          <w:sz w:val="20"/>
        </w:rP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поселений и городского округа, по вопросам местного значения - организации благоустройства территорий поселений и городского округа в соответствии с утвержденными правилами благоустройства территории согласно </w:t>
      </w:r>
      <w:hyperlink w:history="0" r:id="rId8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пункту 19 части 1 статьи 14</w:t>
        </w:r>
      </w:hyperlink>
      <w:r>
        <w:rPr>
          <w:sz w:val="20"/>
        </w:rPr>
        <w:t xml:space="preserve">, </w:t>
      </w:r>
      <w:hyperlink w:history="0" r:id="rId8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пункту 25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2"/>
        <w:jc w:val="center"/>
      </w:pPr>
      <w:r>
        <w:rPr>
          <w:sz w:val="20"/>
        </w:rPr>
        <w:t xml:space="preserve">2. Цели и условия предоставления субсидий, критерии отбора</w:t>
      </w:r>
    </w:p>
    <w:p>
      <w:pPr>
        <w:pStyle w:val="2"/>
        <w:jc w:val="center"/>
      </w:pPr>
      <w:r>
        <w:rPr>
          <w:sz w:val="20"/>
        </w:rPr>
        <w:t xml:space="preserve">муниципальных образований для предоставления субсидий</w:t>
      </w:r>
    </w:p>
    <w:p>
      <w:pPr>
        <w:pStyle w:val="0"/>
        <w:jc w:val="both"/>
      </w:pPr>
      <w:r>
        <w:rPr>
          <w:sz w:val="20"/>
        </w:rPr>
      </w:r>
    </w:p>
    <w:bookmarkStart w:id="1296" w:name="P1296"/>
    <w:bookmarkEnd w:id="1296"/>
    <w:p>
      <w:pPr>
        <w:pStyle w:val="0"/>
        <w:ind w:firstLine="540"/>
        <w:jc w:val="both"/>
      </w:pPr>
      <w:r>
        <w:rPr>
          <w:sz w:val="20"/>
        </w:rPr>
        <w:t xml:space="preserve">2.1. Субсидии предоставляются бюджетам муниципальных образований в целях поддержки проектов, направленных на формирование комфортной туристской среды и развитие туристско-рекреационного комплекса.</w:t>
      </w:r>
    </w:p>
    <w:p>
      <w:pPr>
        <w:pStyle w:val="0"/>
        <w:spacing w:before="200" w:line-rule="auto"/>
        <w:ind w:firstLine="540"/>
        <w:jc w:val="both"/>
      </w:pPr>
      <w:r>
        <w:rPr>
          <w:sz w:val="20"/>
        </w:rPr>
        <w:t xml:space="preserve">2.2.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(далее - проекты).</w:t>
      </w:r>
    </w:p>
    <w:p>
      <w:pPr>
        <w:pStyle w:val="0"/>
        <w:spacing w:before="200" w:line-rule="auto"/>
        <w:ind w:firstLine="540"/>
        <w:jc w:val="both"/>
      </w:pPr>
      <w:r>
        <w:rPr>
          <w:sz w:val="20"/>
        </w:rPr>
        <w:t xml:space="preserve">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 оформляемым в соответствии с </w:t>
      </w:r>
      <w:hyperlink w:history="0" r:id="rId86"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4.2</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spacing w:before="200" w:line-rule="auto"/>
        <w:ind w:firstLine="540"/>
        <w:jc w:val="both"/>
      </w:pPr>
      <w:r>
        <w:rPr>
          <w:sz w:val="20"/>
        </w:rPr>
        <w:t xml:space="preserve">2.3. Условиями предоставления субсидии являются условия, указанные в </w:t>
      </w:r>
      <w:hyperlink w:history="0" r:id="rId87"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пункте 2.7</w:t>
        </w:r>
      </w:hyperlink>
      <w:r>
        <w:rPr>
          <w:sz w:val="20"/>
        </w:rPr>
        <w:t xml:space="preserve"> Правил.</w:t>
      </w:r>
    </w:p>
    <w:bookmarkStart w:id="1300" w:name="P1300"/>
    <w:bookmarkEnd w:id="1300"/>
    <w:p>
      <w:pPr>
        <w:pStyle w:val="0"/>
        <w:spacing w:before="200" w:line-rule="auto"/>
        <w:ind w:firstLine="540"/>
        <w:jc w:val="both"/>
      </w:pPr>
      <w:r>
        <w:rPr>
          <w:sz w:val="20"/>
        </w:rPr>
        <w:t xml:space="preserve">2.4. Критерии, которым должны соответствовать муниципальные образования для допуска к оценке заявок на предоставление субсидии (далее - заявка):</w:t>
      </w:r>
    </w:p>
    <w:p>
      <w:pPr>
        <w:pStyle w:val="0"/>
        <w:spacing w:before="200" w:line-rule="auto"/>
        <w:ind w:firstLine="540"/>
        <w:jc w:val="both"/>
      </w:pPr>
      <w:r>
        <w:rPr>
          <w:sz w:val="20"/>
        </w:rPr>
        <w:t xml:space="preserve">а) наличие в муниципальном образовании утвержденной муниципальной программы (плана мероприятий, мероприятия), соответствующей цели, указанной в </w:t>
      </w:r>
      <w:hyperlink w:history="0" w:anchor="P1296" w:tooltip="2.1. Субсидии предоставляются бюджетам муниципальных образований в целях поддержки проектов, направленных на формирование комфортной туристской среды и развитие туристско-рекреационного комплекса.">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б) утратил силу с 27 марта 2023 года. - </w:t>
      </w:r>
      <w:hyperlink w:history="0" r:id="rId88"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27.03.2023 N 197;</w:t>
      </w:r>
    </w:p>
    <w:p>
      <w:pPr>
        <w:pStyle w:val="0"/>
        <w:spacing w:before="200" w:line-rule="auto"/>
        <w:ind w:firstLine="540"/>
        <w:jc w:val="both"/>
      </w:pPr>
      <w:r>
        <w:rPr>
          <w:sz w:val="20"/>
        </w:rPr>
        <w:t xml:space="preserve">в) наличие проекта по созданию и развитию инфраструктуры активных видов туризма в Ленинградской области, содержащего информацию согласно </w:t>
      </w:r>
      <w:hyperlink w:history="0" w:anchor="P1317" w:tooltip="г) проект по созданию и развитию инфраструктуры активных видов туризма в Ленинградской области, содержащий текстовое и визуальное описание существующего состояния территорий, схему планируемого размещения объектов с условными обозначениями, описание планируемых мероприятий по обустройству и маркировке маршрутов, по размещению информации о созданных маршрутах на картографических сервисах, а также информацию о возможности интеграции объектов инфраструктуры в существующую сеть межпоселенческих/межрегиональн...">
        <w:r>
          <w:rPr>
            <w:sz w:val="20"/>
            <w:color w:val="0000ff"/>
          </w:rPr>
          <w:t xml:space="preserve">подпунктам "г"</w:t>
        </w:r>
      </w:hyperlink>
      <w:r>
        <w:rPr>
          <w:sz w:val="20"/>
        </w:rPr>
        <w:t xml:space="preserve"> и </w:t>
      </w:r>
      <w:hyperlink w:history="0" w:anchor="P1318" w:tooltip="д) сметный расчет, результаты экспертизы сметной документации.">
        <w:r>
          <w:rPr>
            <w:sz w:val="20"/>
            <w:color w:val="0000ff"/>
          </w:rPr>
          <w:t xml:space="preserve">"д" пункта 3.3</w:t>
        </w:r>
      </w:hyperlink>
      <w:r>
        <w:rPr>
          <w:sz w:val="20"/>
        </w:rPr>
        <w:t xml:space="preserve"> настоящего Порядка.</w:t>
      </w:r>
    </w:p>
    <w:p>
      <w:pPr>
        <w:pStyle w:val="0"/>
        <w:spacing w:before="200" w:line-rule="auto"/>
        <w:ind w:firstLine="540"/>
        <w:jc w:val="both"/>
      </w:pPr>
      <w:r>
        <w:rPr>
          <w:sz w:val="20"/>
        </w:rPr>
        <w:t xml:space="preserve">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pPr>
        <w:pStyle w:val="0"/>
        <w:ind w:firstLine="540"/>
        <w:jc w:val="both"/>
      </w:pPr>
      <w:r>
        <w:rPr>
          <w:sz w:val="20"/>
        </w:rPr>
      </w:r>
    </w:p>
    <w:p>
      <w:pPr>
        <w:pStyle w:val="2"/>
        <w:outlineLvl w:val="2"/>
        <w:jc w:val="center"/>
      </w:pPr>
      <w:r>
        <w:rPr>
          <w:sz w:val="20"/>
        </w:rPr>
        <w:t xml:space="preserve">3. Порядок отбора муниципальных образований</w:t>
      </w:r>
    </w:p>
    <w:p>
      <w:pPr>
        <w:pStyle w:val="0"/>
        <w:ind w:firstLine="540"/>
        <w:jc w:val="both"/>
      </w:pPr>
      <w:r>
        <w:rPr>
          <w:sz w:val="20"/>
        </w:rPr>
      </w:r>
    </w:p>
    <w:p>
      <w:pPr>
        <w:pStyle w:val="0"/>
        <w:ind w:firstLine="540"/>
        <w:jc w:val="both"/>
      </w:pPr>
      <w:r>
        <w:rPr>
          <w:sz w:val="20"/>
        </w:rPr>
        <w:t xml:space="preserve">3.1. Субсидии предоставляются по результатам проводимого отбора муниципальных образований на основе оценки заявок муниципальных образований (далее - конкурсный отбор), допущенных к оценке заявок.</w:t>
      </w:r>
    </w:p>
    <w:p>
      <w:pPr>
        <w:pStyle w:val="0"/>
        <w:spacing w:before="200" w:line-rule="auto"/>
        <w:ind w:firstLine="540"/>
        <w:jc w:val="both"/>
      </w:pPr>
      <w:r>
        <w:rPr>
          <w:sz w:val="20"/>
        </w:rPr>
        <w:t xml:space="preserve">Допуск к оценке заявок и конкурсный отбор осуществляются конкурсной комиссией по проведению конкурсного отбора (далее - конкурсная комиссия), формируемой комитетом путем утверждения ее состава и положения о ее деятельности.</w:t>
      </w:r>
    </w:p>
    <w:bookmarkStart w:id="1310" w:name="P1310"/>
    <w:bookmarkEnd w:id="1310"/>
    <w:p>
      <w:pPr>
        <w:pStyle w:val="0"/>
        <w:spacing w:before="200" w:line-rule="auto"/>
        <w:ind w:firstLine="540"/>
        <w:jc w:val="both"/>
      </w:pPr>
      <w:r>
        <w:rPr>
          <w:sz w:val="20"/>
        </w:rPr>
        <w:t xml:space="preserve">3.2. Решение о проведении конкурсного отбора принимается комитетом и оформляется распоряжением комитета, в котором указываются сроки, место, даты и время начала (окончания) подачи (приема) заявок на конкурсный отбор.</w:t>
      </w:r>
    </w:p>
    <w:p>
      <w:pPr>
        <w:pStyle w:val="0"/>
        <w:spacing w:before="200" w:line-rule="auto"/>
        <w:ind w:firstLine="540"/>
        <w:jc w:val="both"/>
      </w:pPr>
      <w:r>
        <w:rPr>
          <w:sz w:val="20"/>
        </w:rPr>
        <w:t xml:space="preserve">Срок приема заявок не может быть менее 10 и более 30 календарных дней с даты размещения информации о проведении конкурсного отбора.</w:t>
      </w:r>
    </w:p>
    <w:p>
      <w:pPr>
        <w:pStyle w:val="0"/>
        <w:spacing w:before="200" w:line-rule="auto"/>
        <w:ind w:firstLine="540"/>
        <w:jc w:val="both"/>
      </w:pPr>
      <w:r>
        <w:rPr>
          <w:sz w:val="20"/>
        </w:rPr>
        <w:t xml:space="preserve">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информационно-телекоммуникационной сети "Интернет" информации с указанием сроков начала и окончания приема заявок, установленных в решении о проведении конкурсного отбора.</w:t>
      </w:r>
    </w:p>
    <w:bookmarkStart w:id="1313" w:name="P1313"/>
    <w:bookmarkEnd w:id="1313"/>
    <w:p>
      <w:pPr>
        <w:pStyle w:val="0"/>
        <w:spacing w:before="200" w:line-rule="auto"/>
        <w:ind w:firstLine="540"/>
        <w:jc w:val="both"/>
      </w:pPr>
      <w:r>
        <w:rPr>
          <w:sz w:val="20"/>
        </w:rPr>
        <w:t xml:space="preserve">3.3. Для участия в конкурсном отборе муниципальные образования представляют в комитет заявки, включающие следующие документы:</w:t>
      </w:r>
    </w:p>
    <w:p>
      <w:pPr>
        <w:pStyle w:val="0"/>
        <w:spacing w:before="200" w:line-rule="auto"/>
        <w:ind w:firstLine="540"/>
        <w:jc w:val="both"/>
      </w:pPr>
      <w:r>
        <w:rPr>
          <w:sz w:val="20"/>
        </w:rPr>
        <w:t xml:space="preserve">а) заявление на предоставление субсидии по форме, утвержденной правовым актом комитета;</w:t>
      </w:r>
    </w:p>
    <w:p>
      <w:pPr>
        <w:pStyle w:val="0"/>
        <w:spacing w:before="200" w:line-rule="auto"/>
        <w:ind w:firstLine="540"/>
        <w:jc w:val="both"/>
      </w:pPr>
      <w:r>
        <w:rPr>
          <w:sz w:val="20"/>
        </w:rPr>
        <w:t xml:space="preserve">б) выписку из утвержденной муниципальной программы (плана мероприятий, мероприятия), соответствующей цели, указанной в </w:t>
      </w:r>
      <w:hyperlink w:history="0" w:anchor="P1296" w:tooltip="2.1. Субсидии предоставляются бюджетам муниципальных образований в целях поддержки проектов, направленных на формирование комфортной туристской среды и развитие туристско-рекреационного комплекса.">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в) утратил силу с 23 марта 2023 года. - </w:t>
      </w:r>
      <w:hyperlink w:history="0" r:id="rId89"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27.03.2023 N 197;</w:t>
      </w:r>
    </w:p>
    <w:bookmarkStart w:id="1317" w:name="P1317"/>
    <w:bookmarkEnd w:id="1317"/>
    <w:p>
      <w:pPr>
        <w:pStyle w:val="0"/>
        <w:spacing w:before="200" w:line-rule="auto"/>
        <w:ind w:firstLine="540"/>
        <w:jc w:val="both"/>
      </w:pPr>
      <w:r>
        <w:rPr>
          <w:sz w:val="20"/>
        </w:rPr>
        <w:t xml:space="preserve">г) проект по созданию и развитию инфраструктуры активных видов туризма в Ленинградской области, содержащий текстовое и визуальное описание существующего состояния территорий, схему планируемого размещения объектов с условными обозначениями, описание планируемых мероприятий по обустройству и маркировке маршрутов, по размещению информации о созданных маршрутах на картографических сервисах, а также информацию о возможности интеграции объектов инфраструктуры в существующую сеть межпоселенческих/межрегиональных/международных маршрутов;</w:t>
      </w:r>
    </w:p>
    <w:bookmarkStart w:id="1318" w:name="P1318"/>
    <w:bookmarkEnd w:id="1318"/>
    <w:p>
      <w:pPr>
        <w:pStyle w:val="0"/>
        <w:spacing w:before="200" w:line-rule="auto"/>
        <w:ind w:firstLine="540"/>
        <w:jc w:val="both"/>
      </w:pPr>
      <w:r>
        <w:rPr>
          <w:sz w:val="20"/>
        </w:rPr>
        <w:t xml:space="preserve">д) сметный расчет, результаты экспертизы сметной документации.</w:t>
      </w:r>
    </w:p>
    <w:p>
      <w:pPr>
        <w:pStyle w:val="0"/>
        <w:spacing w:before="200" w:line-rule="auto"/>
        <w:ind w:firstLine="540"/>
        <w:jc w:val="both"/>
      </w:pPr>
      <w:r>
        <w:rPr>
          <w:sz w:val="20"/>
        </w:rPr>
        <w:t xml:space="preserve">Ответственность за достоверность представленных документов несут администрации муниципальных образований.</w:t>
      </w:r>
    </w:p>
    <w:p>
      <w:pPr>
        <w:pStyle w:val="0"/>
        <w:spacing w:before="200" w:line-rule="auto"/>
        <w:ind w:firstLine="540"/>
        <w:jc w:val="both"/>
      </w:pPr>
      <w:r>
        <w:rPr>
          <w:sz w:val="20"/>
        </w:rPr>
        <w:t xml:space="preserve">3.4. Поступающие заявки регистрируются в соответствующем журнале в день поступления в комитет и передаются на рассмотрение конкурсной комиссии.</w:t>
      </w:r>
    </w:p>
    <w:p>
      <w:pPr>
        <w:pStyle w:val="0"/>
        <w:spacing w:before="200" w:line-rule="auto"/>
        <w:ind w:firstLine="540"/>
        <w:jc w:val="both"/>
      </w:pPr>
      <w:r>
        <w:rPr>
          <w:sz w:val="20"/>
        </w:rPr>
        <w:t xml:space="preserve">Муниципальные образования имеют право отозвать заявку путем письменного уведомления комитета не позднее чем за два рабочих дня до даты заседания конкурсной комиссии.</w:t>
      </w:r>
    </w:p>
    <w:p>
      <w:pPr>
        <w:pStyle w:val="0"/>
        <w:spacing w:before="200" w:line-rule="auto"/>
        <w:ind w:firstLine="540"/>
        <w:jc w:val="both"/>
      </w:pPr>
      <w:r>
        <w:rPr>
          <w:sz w:val="20"/>
        </w:rPr>
        <w:t xml:space="preserve">3.5. Рассмотрение заявок (допуск к оценке заявок и конкурсный отбор) осуществляется в течение 15 дней с даты окончания приема заявок, указанной в информации, в соответствии с </w:t>
      </w:r>
      <w:hyperlink w:history="0" w:anchor="P1310" w:tooltip="3.2. Решение о проведении конкурсного отбора принимается комитетом и оформляется распоряжением комитета, в котором указываются сроки, место, даты и время начала (окончания) подачи (приема) заявок на конкурсный отбор.">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3.6. К конкурсному отбору допускаются заявки при отсутствии оснований для отказа в предоставлении субсидий, предусмотренных </w:t>
      </w:r>
      <w:hyperlink w:history="0" w:anchor="P1331" w:tooltip="а) несоответствие муниципального образования критериям, установленным пунктом 2.4 настоящего Порядка;">
        <w:r>
          <w:rPr>
            <w:sz w:val="20"/>
            <w:color w:val="0000ff"/>
          </w:rPr>
          <w:t xml:space="preserve">подпунктами "а"</w:t>
        </w:r>
      </w:hyperlink>
      <w:r>
        <w:rPr>
          <w:sz w:val="20"/>
        </w:rPr>
        <w:t xml:space="preserve"> - </w:t>
      </w:r>
      <w:hyperlink w:history="0" w:anchor="P1334" w:tooltip="г) представление документов с нарушением срока, установленного в соответствии с пунктом 3.2 настоящего Порядка;">
        <w:r>
          <w:rPr>
            <w:sz w:val="20"/>
            <w:color w:val="0000ff"/>
          </w:rPr>
          <w:t xml:space="preserve">"г" пункта 3.9</w:t>
        </w:r>
      </w:hyperlink>
      <w:r>
        <w:rPr>
          <w:sz w:val="20"/>
        </w:rPr>
        <w:t xml:space="preserve"> настоящего Порядка.</w:t>
      </w:r>
    </w:p>
    <w:p>
      <w:pPr>
        <w:pStyle w:val="0"/>
        <w:spacing w:before="200" w:line-rule="auto"/>
        <w:ind w:firstLine="540"/>
        <w:jc w:val="both"/>
      </w:pPr>
      <w:r>
        <w:rPr>
          <w:sz w:val="20"/>
        </w:rPr>
        <w:t xml:space="preserve">Конкурсный отбор осуществляется конкурсной комиссией путем оценки заявок в соответствии с </w:t>
      </w:r>
      <w:hyperlink w:history="0" w:anchor="P1388" w:tooltip="КРИТЕРИИ">
        <w:r>
          <w:rPr>
            <w:sz w:val="20"/>
            <w:color w:val="0000ff"/>
          </w:rPr>
          <w:t xml:space="preserve">критериями</w:t>
        </w:r>
      </w:hyperlink>
      <w:r>
        <w:rPr>
          <w:sz w:val="20"/>
        </w:rPr>
        <w:t xml:space="preserve"> оценки заявок муниципальных образований по балльной системе с учетом удельного веса каждого критерия для получения сводной оценки заявки муниципального образования согласно приложению к настоящему Порядку и по установленной в нем балльной системе.</w:t>
      </w:r>
    </w:p>
    <w:p>
      <w:pPr>
        <w:pStyle w:val="0"/>
        <w:spacing w:before="200" w:line-rule="auto"/>
        <w:ind w:firstLine="540"/>
        <w:jc w:val="both"/>
      </w:pPr>
      <w:r>
        <w:rPr>
          <w:sz w:val="20"/>
        </w:rPr>
        <w:t xml:space="preserve">Для оценки используется шкала оценки от 0 до 5, где 5 - самая высокая оценка, 0 - самая низкая оценка.</w:t>
      </w:r>
    </w:p>
    <w:p>
      <w:pPr>
        <w:pStyle w:val="0"/>
        <w:spacing w:before="200" w:line-rule="auto"/>
        <w:ind w:firstLine="540"/>
        <w:jc w:val="both"/>
      </w:pPr>
      <w:r>
        <w:rPr>
          <w:sz w:val="20"/>
        </w:rPr>
        <w:t xml:space="preserve">3.7. Итоговая оценка заявок определяется как сумма баллов, полученных по каждому из критериев с учетом их удельного веса.</w:t>
      </w:r>
    </w:p>
    <w:bookmarkStart w:id="1327" w:name="P1327"/>
    <w:bookmarkEnd w:id="1327"/>
    <w:p>
      <w:pPr>
        <w:pStyle w:val="0"/>
        <w:spacing w:before="200" w:line-rule="auto"/>
        <w:ind w:firstLine="540"/>
        <w:jc w:val="both"/>
      </w:pPr>
      <w:r>
        <w:rPr>
          <w:sz w:val="20"/>
        </w:rPr>
        <w:t xml:space="preserve">3.8. На основании результатов оценки заявок по балльной системе конкурсная комиссия принимает решение о признании муниципальных образований, набравших максимальное количество баллов, победителями конкурсного отбора и оформляет указанное решение протоколом, который подписывается всеми членами конкурсной комиссии не позднее трех рабочих дней с даты проведения заседания конкурсной комиссии. В протоколе указываются перечень муниципальных образований, признанных получателями субсидий, и размер предоставляемых им субсидий.</w:t>
      </w:r>
    </w:p>
    <w:p>
      <w:pPr>
        <w:pStyle w:val="0"/>
        <w:spacing w:before="200" w:line-rule="auto"/>
        <w:ind w:firstLine="540"/>
        <w:jc w:val="both"/>
      </w:pPr>
      <w:r>
        <w:rPr>
          <w:sz w:val="20"/>
        </w:rPr>
        <w:t xml:space="preserve">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от более ранней к более поздней.</w:t>
      </w:r>
    </w:p>
    <w:p>
      <w:pPr>
        <w:pStyle w:val="0"/>
        <w:spacing w:before="200" w:line-rule="auto"/>
        <w:ind w:firstLine="540"/>
        <w:jc w:val="both"/>
      </w:pPr>
      <w:r>
        <w:rPr>
          <w:sz w:val="20"/>
        </w:rPr>
        <w:t xml:space="preserve">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bookmarkStart w:id="1330" w:name="P1330"/>
    <w:bookmarkEnd w:id="1330"/>
    <w:p>
      <w:pPr>
        <w:pStyle w:val="0"/>
        <w:spacing w:before="200" w:line-rule="auto"/>
        <w:ind w:firstLine="540"/>
        <w:jc w:val="both"/>
      </w:pPr>
      <w:r>
        <w:rPr>
          <w:sz w:val="20"/>
        </w:rPr>
        <w:t xml:space="preserve">3.9. Основаниями для отказа в предоставлении субсидии являются:</w:t>
      </w:r>
    </w:p>
    <w:bookmarkStart w:id="1331" w:name="P1331"/>
    <w:bookmarkEnd w:id="1331"/>
    <w:p>
      <w:pPr>
        <w:pStyle w:val="0"/>
        <w:spacing w:before="200" w:line-rule="auto"/>
        <w:ind w:firstLine="540"/>
        <w:jc w:val="both"/>
      </w:pPr>
      <w:r>
        <w:rPr>
          <w:sz w:val="20"/>
        </w:rPr>
        <w:t xml:space="preserve">а) несоответствие муниципального образования критериям, установленным </w:t>
      </w:r>
      <w:hyperlink w:history="0" w:anchor="P1300" w:tooltip="2.4. Критерии, которым должны соответствовать муниципальные образования для допуска к оценке заявок на предоставление субсидии (далее - заявк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б) непредставление (представление не в полном объеме) документов, указанных в </w:t>
      </w:r>
      <w:hyperlink w:history="0" w:anchor="P1313" w:tooltip="3.3. Для участия в конкурсном отборе муниципальные образования представляют в комитет заявки, включающие следующие документы:">
        <w:r>
          <w:rPr>
            <w:sz w:val="20"/>
            <w:color w:val="0000ff"/>
          </w:rPr>
          <w:t xml:space="preserve">пункте 3.3</w:t>
        </w:r>
      </w:hyperlink>
      <w:r>
        <w:rPr>
          <w:sz w:val="20"/>
        </w:rPr>
        <w:t xml:space="preserve"> настоящего Порядка;</w:t>
      </w:r>
    </w:p>
    <w:p>
      <w:pPr>
        <w:pStyle w:val="0"/>
        <w:spacing w:before="200" w:line-rule="auto"/>
        <w:ind w:firstLine="540"/>
        <w:jc w:val="both"/>
      </w:pPr>
      <w:r>
        <w:rPr>
          <w:sz w:val="20"/>
        </w:rPr>
        <w:t xml:space="preserve">в) недостоверность представленной информации;</w:t>
      </w:r>
    </w:p>
    <w:bookmarkStart w:id="1334" w:name="P1334"/>
    <w:bookmarkEnd w:id="1334"/>
    <w:p>
      <w:pPr>
        <w:pStyle w:val="0"/>
        <w:spacing w:before="200" w:line-rule="auto"/>
        <w:ind w:firstLine="540"/>
        <w:jc w:val="both"/>
      </w:pPr>
      <w:r>
        <w:rPr>
          <w:sz w:val="20"/>
        </w:rPr>
        <w:t xml:space="preserve">г) представление документов с нарушением срока, установленного в соответствии с </w:t>
      </w:r>
      <w:hyperlink w:history="0" w:anchor="P1310" w:tooltip="3.2. Решение о проведении конкурсного отбора принимается комитетом и оформляется распоряжением комитета, в котором указываются сроки, место, даты и время начала (окончания) подачи (приема) заявок на конкурсный отбор.">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д) отсутствие факта признания победителем конкурсного отбора в соответствии с </w:t>
      </w:r>
      <w:hyperlink w:history="0" w:anchor="P1327" w:tooltip="3.8. На основании результатов оценки заявок по балльной системе конкурсная комиссия принимает решение о признании муниципальных образований, набравших максимальное количество баллов, победителями конкурсного отбора и оформляет указанное решение протоколом, который подписывается всеми членами конкурсной комиссии не позднее трех рабочих дней с даты проведения заседания конкурсной комиссии. В протоколе указываются перечень муниципальных образований, признанных получателями субсидий, и размер предоставляемых...">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3.10.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3.11. При наличии оснований для отказа в предоставлении субсидии, предусмотренных </w:t>
      </w:r>
      <w:hyperlink w:history="0" w:anchor="P1330" w:tooltip="3.9. Основаниями для отказа в предоставлении субсидии являются:">
        <w:r>
          <w:rPr>
            <w:sz w:val="20"/>
            <w:color w:val="0000ff"/>
          </w:rPr>
          <w:t xml:space="preserve">пунктом 3.9</w:t>
        </w:r>
      </w:hyperlink>
      <w:r>
        <w:rPr>
          <w:sz w:val="20"/>
        </w:rPr>
        <w:t xml:space="preserve"> настоящего Порядка, комитет уведомляет муниципальное образование об отказе в предоставлении субсидии в течение трех рабочих дней после оформления протокола, указанного в </w:t>
      </w:r>
      <w:hyperlink w:history="0" w:anchor="P1327" w:tooltip="3.8. На основании результатов оценки заявок по балльной системе конкурсная комиссия принимает решение о признании муниципальных образований, набравших максимальное количество баллов, победителями конкурсного отбора и оформляет указанное решение протоколом, который подписывается всеми членами конкурсной комиссии не позднее трех рабочих дней с даты проведения заседания конкурсной комиссии. В протоколе указываются перечень муниципальных образований, признанных получателями субсидий, и размер предоставляемых...">
        <w:r>
          <w:rPr>
            <w:sz w:val="20"/>
            <w:color w:val="0000ff"/>
          </w:rPr>
          <w:t xml:space="preserve">пункте 3.8</w:t>
        </w:r>
      </w:hyperlink>
      <w:r>
        <w:rPr>
          <w:sz w:val="20"/>
        </w:rPr>
        <w:t xml:space="preserve"> настоящего Порядка.</w:t>
      </w:r>
    </w:p>
    <w:p>
      <w:pPr>
        <w:pStyle w:val="0"/>
        <w:ind w:firstLine="540"/>
        <w:jc w:val="both"/>
      </w:pPr>
      <w:r>
        <w:rPr>
          <w:sz w:val="20"/>
        </w:rPr>
      </w:r>
    </w:p>
    <w:p>
      <w:pPr>
        <w:pStyle w:val="2"/>
        <w:outlineLvl w:val="2"/>
        <w:jc w:val="center"/>
      </w:pPr>
      <w:r>
        <w:rPr>
          <w:sz w:val="20"/>
        </w:rPr>
        <w:t xml:space="preserve">4. Методика распределения субсидий</w:t>
      </w:r>
    </w:p>
    <w:p>
      <w:pPr>
        <w:pStyle w:val="0"/>
        <w:ind w:firstLine="540"/>
        <w:jc w:val="both"/>
      </w:pPr>
      <w:r>
        <w:rPr>
          <w:sz w:val="20"/>
        </w:rPr>
      </w:r>
    </w:p>
    <w:p>
      <w:pPr>
        <w:pStyle w:val="0"/>
        <w:ind w:firstLine="540"/>
        <w:jc w:val="both"/>
      </w:pPr>
      <w:r>
        <w:rPr>
          <w:sz w:val="20"/>
        </w:rPr>
        <w:t xml:space="preserve">4.1. Распределение субсидий между муниципальными образованиями осуществляется исходя из заявок муниципальных образований.</w:t>
      </w:r>
    </w:p>
    <w:p>
      <w:pPr>
        <w:pStyle w:val="0"/>
        <w:spacing w:before="200" w:line-rule="auto"/>
        <w:ind w:firstLine="540"/>
        <w:jc w:val="both"/>
      </w:pPr>
      <w:r>
        <w:rPr>
          <w:sz w:val="20"/>
        </w:rPr>
        <w:t xml:space="preserve">4.2. Общий объем субсидий бюджету i-го муниципального образования определяется по следующей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ЗС</w:t>
      </w:r>
      <w:r>
        <w:rPr>
          <w:sz w:val="20"/>
          <w:vertAlign w:val="subscript"/>
        </w:rPr>
        <w:t xml:space="preserve">i</w:t>
      </w:r>
      <w:r>
        <w:rPr>
          <w:sz w:val="20"/>
        </w:rPr>
        <w:t xml:space="preserve"> x УС</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субсидий бюджету i-го муниципального образования;</w:t>
      </w:r>
    </w:p>
    <w:p>
      <w:pPr>
        <w:pStyle w:val="0"/>
        <w:spacing w:before="200" w:line-rule="auto"/>
        <w:ind w:firstLine="540"/>
        <w:jc w:val="both"/>
      </w:pPr>
      <w:r>
        <w:rPr>
          <w:sz w:val="20"/>
        </w:rPr>
        <w:t xml:space="preserve">ЗС</w:t>
      </w:r>
      <w:r>
        <w:rPr>
          <w:sz w:val="20"/>
          <w:vertAlign w:val="subscript"/>
        </w:rPr>
        <w:t xml:space="preserve">i</w:t>
      </w:r>
      <w:r>
        <w:rPr>
          <w:sz w:val="20"/>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для предоставления субсидий;</w:t>
      </w:r>
    </w:p>
    <w:p>
      <w:pPr>
        <w:pStyle w:val="0"/>
        <w:spacing w:before="200" w:line-rule="auto"/>
        <w:ind w:firstLine="540"/>
        <w:jc w:val="both"/>
      </w:pPr>
      <w:r>
        <w:rPr>
          <w:sz w:val="20"/>
        </w:rPr>
        <w:t xml:space="preserve">УС</w:t>
      </w:r>
      <w:r>
        <w:rPr>
          <w:sz w:val="20"/>
          <w:vertAlign w:val="subscript"/>
        </w:rPr>
        <w:t xml:space="preserve">i</w:t>
      </w:r>
      <w:r>
        <w:rPr>
          <w:sz w:val="20"/>
        </w:rPr>
        <w:t xml:space="preserve"> - предельный уровень софинансирования для i-го муниципального образования.</w:t>
      </w:r>
    </w:p>
    <w:p>
      <w:pPr>
        <w:pStyle w:val="0"/>
        <w:ind w:firstLine="540"/>
        <w:jc w:val="both"/>
      </w:pPr>
      <w:r>
        <w:rPr>
          <w:sz w:val="20"/>
        </w:rPr>
      </w:r>
    </w:p>
    <w:p>
      <w:pPr>
        <w:pStyle w:val="0"/>
        <w:ind w:firstLine="540"/>
        <w:jc w:val="both"/>
      </w:pPr>
      <w:r>
        <w:rPr>
          <w:sz w:val="20"/>
        </w:rPr>
        <w:t xml:space="preserve">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pPr>
        <w:pStyle w:val="0"/>
        <w:spacing w:before="200" w:line-rule="auto"/>
        <w:ind w:firstLine="540"/>
        <w:jc w:val="both"/>
      </w:pPr>
      <w:r>
        <w:rPr>
          <w:sz w:val="20"/>
        </w:rPr>
        <w:t xml:space="preserve">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pPr>
        <w:pStyle w:val="0"/>
        <w:spacing w:before="200" w:line-rule="auto"/>
        <w:ind w:firstLine="540"/>
        <w:jc w:val="both"/>
      </w:pPr>
      <w:r>
        <w:rPr>
          <w:sz w:val="20"/>
        </w:rPr>
        <w:t xml:space="preserve">4.4. При увеличении ассигнований областного бюджета субсидии распределяются среди муниципальных образований, набравших наибольшее количество баллов, участвовавших в конкурсном отборе, но не признанных победителями в соответствии с </w:t>
      </w:r>
      <w:hyperlink w:history="0" w:anchor="P1327" w:tooltip="3.8. На основании результатов оценки заявок по балльной системе конкурсная комиссия принимает решение о признании муниципальных образований, набравших максимальное количество баллов, победителями конкурсного отбора и оформляет указанное решение протоколом, который подписывается всеми членами конкурсной комиссии не позднее трех рабочих дней с даты проведения заседания конкурсной комиссии. В протоколе указываются перечень муниципальных образований, признанных получателями субсидий, и размер предоставляемых...">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В случае отсутствия не признанных победителями муниципальных образований и(или) наличия нераспределенных бюджетных ассигнований по основаниям, указанным в </w:t>
      </w:r>
      <w:hyperlink w:history="0" w:anchor="P1356" w:tooltip="а) распределение объема субсидии, образовавшегося в результате отказа одного или нескольких муниципальных образований от подписания соглашений;">
        <w:r>
          <w:rPr>
            <w:sz w:val="20"/>
            <w:color w:val="0000ff"/>
          </w:rPr>
          <w:t xml:space="preserve">подпунктах "а"</w:t>
        </w:r>
      </w:hyperlink>
      <w:r>
        <w:rPr>
          <w:sz w:val="20"/>
        </w:rPr>
        <w:t xml:space="preserve"> - </w:t>
      </w:r>
      <w:hyperlink w:history="0" w:anchor="P1359" w:tooltip="г) изменение общего объема бюджетных ассигнований областного бюджета, предусмотренного на предоставление субсидии.">
        <w:r>
          <w:rPr>
            <w:sz w:val="20"/>
            <w:color w:val="0000ff"/>
          </w:rPr>
          <w:t xml:space="preserve">"г"</w:t>
        </w:r>
      </w:hyperlink>
      <w:r>
        <w:rPr>
          <w:sz w:val="20"/>
        </w:rPr>
        <w:t xml:space="preserve"> настоящего пункта, проводится дополнительный конкурсный отбор муниципальных образований в соответствии с настоящим Порядком.</w:t>
      </w:r>
    </w:p>
    <w:p>
      <w:pPr>
        <w:pStyle w:val="0"/>
        <w:spacing w:before="200" w:line-rule="auto"/>
        <w:ind w:firstLine="540"/>
        <w:jc w:val="both"/>
      </w:pPr>
      <w:r>
        <w:rPr>
          <w:sz w:val="20"/>
        </w:rPr>
        <w:t xml:space="preserve">Основаниями для внесения изменений в утвержденный для муниципального образования объем субсидий могут являться:</w:t>
      </w:r>
    </w:p>
    <w:bookmarkStart w:id="1356" w:name="P1356"/>
    <w:bookmarkEnd w:id="1356"/>
    <w:p>
      <w:pPr>
        <w:pStyle w:val="0"/>
        <w:spacing w:before="200" w:line-rule="auto"/>
        <w:ind w:firstLine="540"/>
        <w:jc w:val="both"/>
      </w:pPr>
      <w:r>
        <w:rPr>
          <w:sz w:val="20"/>
        </w:rPr>
        <w:t xml:space="preserve">а) распределение объема субсидии, образовавшегося в результате отказа одного или нескольких муниципальных образований от подписания соглашений;</w:t>
      </w:r>
    </w:p>
    <w:p>
      <w:pPr>
        <w:pStyle w:val="0"/>
        <w:spacing w:before="200" w:line-rule="auto"/>
        <w:ind w:firstLine="540"/>
        <w:jc w:val="both"/>
      </w:pPr>
      <w:r>
        <w:rPr>
          <w:sz w:val="20"/>
        </w:rPr>
        <w:t xml:space="preserve">б) расторжение соглашения;</w:t>
      </w:r>
    </w:p>
    <w:p>
      <w:pPr>
        <w:pStyle w:val="0"/>
        <w:spacing w:before="200" w:line-rule="auto"/>
        <w:ind w:firstLine="540"/>
        <w:jc w:val="both"/>
      </w:pPr>
      <w:r>
        <w:rPr>
          <w:sz w:val="20"/>
        </w:rPr>
        <w:t xml:space="preserve">в) распределение нераспределенного объема субсидии;</w:t>
      </w:r>
    </w:p>
    <w:bookmarkStart w:id="1359" w:name="P1359"/>
    <w:bookmarkEnd w:id="1359"/>
    <w:p>
      <w:pPr>
        <w:pStyle w:val="0"/>
        <w:spacing w:before="200" w:line-rule="auto"/>
        <w:ind w:firstLine="540"/>
        <w:jc w:val="both"/>
      </w:pPr>
      <w:r>
        <w:rPr>
          <w:sz w:val="20"/>
        </w:rPr>
        <w:t xml:space="preserve">г) изменение общего объема бюджетных ассигнований областного бюджета, предусмотренного на предоставление субсидии.</w:t>
      </w:r>
    </w:p>
    <w:p>
      <w:pPr>
        <w:pStyle w:val="0"/>
        <w:ind w:firstLine="540"/>
        <w:jc w:val="both"/>
      </w:pPr>
      <w:r>
        <w:rPr>
          <w:sz w:val="20"/>
        </w:rPr>
      </w:r>
    </w:p>
    <w:p>
      <w:pPr>
        <w:pStyle w:val="2"/>
        <w:outlineLvl w:val="2"/>
        <w:jc w:val="center"/>
      </w:pPr>
      <w:r>
        <w:rPr>
          <w:sz w:val="20"/>
        </w:rPr>
        <w:t xml:space="preserve">5. Порядок предоставления и расходования субсидий</w:t>
      </w:r>
    </w:p>
    <w:p>
      <w:pPr>
        <w:pStyle w:val="0"/>
        <w:ind w:firstLine="540"/>
        <w:jc w:val="both"/>
      </w:pPr>
      <w:r>
        <w:rPr>
          <w:sz w:val="20"/>
        </w:rPr>
      </w:r>
    </w:p>
    <w:p>
      <w:pPr>
        <w:pStyle w:val="0"/>
        <w:ind w:firstLine="540"/>
        <w:jc w:val="both"/>
      </w:pPr>
      <w:r>
        <w:rPr>
          <w:sz w:val="20"/>
        </w:rP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pPr>
        <w:pStyle w:val="0"/>
        <w:spacing w:before="200" w:line-rule="auto"/>
        <w:ind w:firstLine="540"/>
        <w:jc w:val="both"/>
      </w:pPr>
      <w:r>
        <w:rPr>
          <w:sz w:val="20"/>
        </w:rPr>
        <w:t xml:space="preserve">Соглашение заключается в срок до 15 февраля года предоставления субсидий на основании утвержденного распределения субсидий между муниципальными образованиями.</w:t>
      </w:r>
    </w:p>
    <w:p>
      <w:pPr>
        <w:pStyle w:val="0"/>
        <w:spacing w:before="200" w:line-rule="auto"/>
        <w:ind w:firstLine="540"/>
        <w:jc w:val="both"/>
      </w:pPr>
      <w:r>
        <w:rPr>
          <w:sz w:val="20"/>
        </w:rPr>
        <w:t xml:space="preserve">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5.2. В случаях внесения изменений в закон об областном бюджете Ленинградской области на текущий финансовый год и на плановый период, предусматривающих изменения в соответствующем финансовом году объемов бюджетных ассигнований на предоставление субсидий, заключение новых соглашений (дополнительных соглашений) осуществляется в соответствии с </w:t>
      </w:r>
      <w:hyperlink w:history="0" r:id="rId90"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5.2.1. Не допускается заключение соглашения (дополнительного соглашения),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5.2.2. В случае отсутствия заключенного соглашения в соответствии с </w:t>
      </w:r>
      <w:hyperlink w:history="0" r:id="rId91"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 бюджетные ассигнования областного бюджета, предусмотренные комитету на текущий финансовый год, в размере, равном размеру субсидии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pPr>
        <w:pStyle w:val="0"/>
        <w:spacing w:before="200" w:line-rule="auto"/>
        <w:ind w:firstLine="540"/>
        <w:jc w:val="both"/>
      </w:pPr>
      <w:r>
        <w:rPr>
          <w:sz w:val="20"/>
        </w:rPr>
        <w:t xml:space="preserve">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w:t>
      </w:r>
    </w:p>
    <w:p>
      <w:pPr>
        <w:pStyle w:val="0"/>
        <w:spacing w:before="200" w:line-rule="auto"/>
        <w:ind w:firstLine="540"/>
        <w:jc w:val="both"/>
      </w:pPr>
      <w:r>
        <w:rPr>
          <w:sz w:val="20"/>
        </w:rPr>
        <w:t xml:space="preserve">5.4. Перечисление субсидий осуществляется комитетом на счета главных администраторов доходов бюджета муниципальных образований, открытые в территориальных отделах Управления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они являются, на основании документов, подтверждающих потребность в оплате денежных обязательств по расходам муниципального образования.</w:t>
      </w:r>
    </w:p>
    <w:p>
      <w:pPr>
        <w:pStyle w:val="0"/>
        <w:spacing w:before="200" w:line-rule="auto"/>
        <w:ind w:firstLine="540"/>
        <w:jc w:val="both"/>
      </w:pPr>
      <w:r>
        <w:rPr>
          <w:sz w:val="20"/>
        </w:rPr>
        <w:t xml:space="preserve">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pPr>
        <w:pStyle w:val="0"/>
        <w:spacing w:before="200" w:line-rule="auto"/>
        <w:ind w:firstLine="540"/>
        <w:jc w:val="both"/>
      </w:pPr>
      <w:r>
        <w:rPr>
          <w:sz w:val="20"/>
        </w:rP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7-го рабочего дня с даты поступления документов, подтверждающих потребность муниципального образования в осуществлении расходов.</w:t>
      </w:r>
    </w:p>
    <w:p>
      <w:pPr>
        <w:pStyle w:val="0"/>
        <w:spacing w:before="200" w:line-rule="auto"/>
        <w:ind w:firstLine="540"/>
        <w:jc w:val="both"/>
      </w:pPr>
      <w:r>
        <w:rPr>
          <w:sz w:val="20"/>
        </w:rPr>
        <w:t xml:space="preserve">5.5.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pPr>
        <w:pStyle w:val="0"/>
        <w:spacing w:before="200" w:line-rule="auto"/>
        <w:ind w:firstLine="540"/>
        <w:jc w:val="both"/>
      </w:pPr>
      <w:r>
        <w:rPr>
          <w:sz w:val="20"/>
        </w:rPr>
        <w:t xml:space="preserve">5.6.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5.9.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 Российской Федерации.</w:t>
      </w:r>
    </w:p>
    <w:p>
      <w:pPr>
        <w:pStyle w:val="0"/>
        <w:spacing w:before="200" w:line-rule="auto"/>
        <w:ind w:firstLine="540"/>
        <w:jc w:val="both"/>
      </w:pPr>
      <w:r>
        <w:rPr>
          <w:sz w:val="20"/>
        </w:rPr>
        <w:t xml:space="preserve">5.10.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w:history="0" r:id="rId92" w:tooltip="Постановление Правительства Ленинградской области от 20.07.2016 N 257 (ред. от 16.1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2"/>
        <w:jc w:val="right"/>
      </w:pPr>
      <w:r>
        <w:rPr>
          <w:sz w:val="20"/>
        </w:rPr>
        <w:t xml:space="preserve">Приложение 1</w:t>
      </w:r>
    </w:p>
    <w:p>
      <w:pPr>
        <w:pStyle w:val="0"/>
        <w:jc w:val="right"/>
      </w:pPr>
      <w:r>
        <w:rPr>
          <w:sz w:val="20"/>
        </w:rPr>
        <w:t xml:space="preserve">к Порядку...</w:t>
      </w:r>
    </w:p>
    <w:p>
      <w:pPr>
        <w:pStyle w:val="0"/>
        <w:jc w:val="right"/>
      </w:pPr>
      <w:r>
        <w:rPr>
          <w:sz w:val="20"/>
        </w:rPr>
      </w:r>
    </w:p>
    <w:bookmarkStart w:id="1388" w:name="P1388"/>
    <w:bookmarkEnd w:id="1388"/>
    <w:p>
      <w:pPr>
        <w:pStyle w:val="2"/>
        <w:jc w:val="center"/>
      </w:pPr>
      <w:r>
        <w:rPr>
          <w:sz w:val="20"/>
        </w:rPr>
        <w:t xml:space="preserve">КРИТЕРИИ</w:t>
      </w:r>
    </w:p>
    <w:p>
      <w:pPr>
        <w:pStyle w:val="2"/>
        <w:jc w:val="center"/>
      </w:pPr>
      <w:r>
        <w:rPr>
          <w:sz w:val="20"/>
        </w:rPr>
        <w:t xml:space="preserve">ОЦЕНКИ ЗАЯВОК МУНИЦИПАЛЬНЫХ ОБРАЗОВАНИЙ ПО БАЛЛЬНОЙ</w:t>
      </w:r>
    </w:p>
    <w:p>
      <w:pPr>
        <w:pStyle w:val="2"/>
        <w:jc w:val="center"/>
      </w:pPr>
      <w:r>
        <w:rPr>
          <w:sz w:val="20"/>
        </w:rPr>
        <w:t xml:space="preserve">СИСТЕМЕ С УЧЕТОМ УДЕЛЬНОГО ВЕСА КАЖДОГО КРИТЕРИЯ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628"/>
        <w:gridCol w:w="3742"/>
        <w:gridCol w:w="1190"/>
      </w:tblGrid>
      <w:tr>
        <w:tc>
          <w:tcPr>
            <w:tcW w:w="510" w:type="dxa"/>
          </w:tcPr>
          <w:p>
            <w:pPr>
              <w:pStyle w:val="0"/>
              <w:jc w:val="center"/>
            </w:pPr>
            <w:r>
              <w:rPr>
                <w:sz w:val="20"/>
              </w:rPr>
              <w:t xml:space="preserve">N п/п</w:t>
            </w:r>
          </w:p>
        </w:tc>
        <w:tc>
          <w:tcPr>
            <w:tcW w:w="3628" w:type="dxa"/>
          </w:tcPr>
          <w:p>
            <w:pPr>
              <w:pStyle w:val="0"/>
              <w:jc w:val="center"/>
            </w:pPr>
            <w:r>
              <w:rPr>
                <w:sz w:val="20"/>
              </w:rPr>
              <w:t xml:space="preserve">Оценочные критерии</w:t>
            </w:r>
          </w:p>
        </w:tc>
        <w:tc>
          <w:tcPr>
            <w:tcW w:w="3742" w:type="dxa"/>
          </w:tcPr>
          <w:p>
            <w:pPr>
              <w:pStyle w:val="0"/>
              <w:jc w:val="center"/>
            </w:pPr>
            <w:r>
              <w:rPr>
                <w:sz w:val="20"/>
              </w:rPr>
              <w:t xml:space="preserve">Баллы</w:t>
            </w:r>
          </w:p>
        </w:tc>
        <w:tc>
          <w:tcPr>
            <w:tcW w:w="1190" w:type="dxa"/>
          </w:tcPr>
          <w:p>
            <w:pPr>
              <w:pStyle w:val="0"/>
              <w:jc w:val="center"/>
            </w:pPr>
            <w:r>
              <w:rPr>
                <w:sz w:val="20"/>
              </w:rPr>
              <w:t xml:space="preserve">Удельный вес</w:t>
            </w:r>
          </w:p>
        </w:tc>
      </w:tr>
      <w:tr>
        <w:tc>
          <w:tcPr>
            <w:tcW w:w="510" w:type="dxa"/>
          </w:tcPr>
          <w:p>
            <w:pPr>
              <w:pStyle w:val="0"/>
              <w:jc w:val="center"/>
            </w:pPr>
            <w:r>
              <w:rPr>
                <w:sz w:val="20"/>
              </w:rPr>
              <w:t xml:space="preserve">1</w:t>
            </w:r>
          </w:p>
        </w:tc>
        <w:tc>
          <w:tcPr>
            <w:tcW w:w="3628" w:type="dxa"/>
          </w:tcPr>
          <w:p>
            <w:pPr>
              <w:pStyle w:val="0"/>
              <w:jc w:val="center"/>
            </w:pPr>
            <w:r>
              <w:rPr>
                <w:sz w:val="20"/>
              </w:rPr>
              <w:t xml:space="preserve">2</w:t>
            </w:r>
          </w:p>
        </w:tc>
        <w:tc>
          <w:tcPr>
            <w:tcW w:w="3742" w:type="dxa"/>
          </w:tcPr>
          <w:p>
            <w:pPr>
              <w:pStyle w:val="0"/>
              <w:jc w:val="center"/>
            </w:pPr>
            <w:r>
              <w:rPr>
                <w:sz w:val="20"/>
              </w:rPr>
              <w:t xml:space="preserve">3</w:t>
            </w:r>
          </w:p>
        </w:tc>
        <w:tc>
          <w:tcPr>
            <w:tcW w:w="1190" w:type="dxa"/>
          </w:tcPr>
          <w:p>
            <w:pPr>
              <w:pStyle w:val="0"/>
              <w:jc w:val="center"/>
            </w:pPr>
            <w:r>
              <w:rPr>
                <w:sz w:val="20"/>
              </w:rPr>
              <w:t xml:space="preserve">4</w:t>
            </w:r>
          </w:p>
        </w:tc>
      </w:tr>
      <w:tr>
        <w:tc>
          <w:tcPr>
            <w:tcW w:w="510" w:type="dxa"/>
          </w:tcPr>
          <w:p>
            <w:pPr>
              <w:pStyle w:val="0"/>
              <w:jc w:val="center"/>
            </w:pPr>
            <w:r>
              <w:rPr>
                <w:sz w:val="20"/>
              </w:rPr>
              <w:t xml:space="preserve">1</w:t>
            </w:r>
          </w:p>
        </w:tc>
        <w:tc>
          <w:tcPr>
            <w:tcW w:w="3628" w:type="dxa"/>
          </w:tcPr>
          <w:p>
            <w:pPr>
              <w:pStyle w:val="0"/>
            </w:pPr>
            <w:r>
              <w:rPr>
                <w:sz w:val="20"/>
              </w:rPr>
              <w:t xml:space="preserve">Мероприятия по обустройству и маркировке маршрутов активных видов туризма в соответствии с Рекомендациями по маркировке туристских маршрутов, проходящих по территории Ленинградской области с различными активными способами передвижения, и обустройству туристских маршрутов, проходящих по территории Ленинградской области</w:t>
            </w:r>
          </w:p>
        </w:tc>
        <w:tc>
          <w:tcPr>
            <w:tcW w:w="3742" w:type="dxa"/>
          </w:tcPr>
          <w:p>
            <w:pPr>
              <w:pStyle w:val="0"/>
            </w:pPr>
            <w:r>
              <w:rPr>
                <w:sz w:val="20"/>
              </w:rPr>
              <w:t xml:space="preserve">1. Количество установленных информационных щитов:</w:t>
            </w:r>
          </w:p>
          <w:p>
            <w:pPr>
              <w:pStyle w:val="0"/>
            </w:pPr>
            <w:r>
              <w:rPr>
                <w:sz w:val="20"/>
              </w:rPr>
              <w:t xml:space="preserve">более 2 шт. - 5 баллов;</w:t>
            </w:r>
          </w:p>
          <w:p>
            <w:pPr>
              <w:pStyle w:val="0"/>
            </w:pPr>
            <w:r>
              <w:rPr>
                <w:sz w:val="20"/>
              </w:rPr>
              <w:t xml:space="preserve">1-2 шт. - 3 балла;</w:t>
            </w:r>
          </w:p>
          <w:p>
            <w:pPr>
              <w:pStyle w:val="0"/>
            </w:pPr>
            <w:r>
              <w:rPr>
                <w:sz w:val="20"/>
              </w:rPr>
              <w:t xml:space="preserve">отсутствуют - 0 баллов.</w:t>
            </w:r>
          </w:p>
          <w:p>
            <w:pPr>
              <w:pStyle w:val="0"/>
            </w:pPr>
            <w:r>
              <w:rPr>
                <w:sz w:val="20"/>
              </w:rPr>
              <w:t xml:space="preserve">2. Количество информационных указателей:</w:t>
            </w:r>
          </w:p>
          <w:p>
            <w:pPr>
              <w:pStyle w:val="0"/>
            </w:pPr>
            <w:r>
              <w:rPr>
                <w:sz w:val="20"/>
              </w:rPr>
              <w:t xml:space="preserve">более 7 шт. - 5 баллов;</w:t>
            </w:r>
          </w:p>
          <w:p>
            <w:pPr>
              <w:pStyle w:val="0"/>
            </w:pPr>
            <w:r>
              <w:rPr>
                <w:sz w:val="20"/>
              </w:rPr>
              <w:t xml:space="preserve">6-7 шт. - 3 балла;</w:t>
            </w:r>
          </w:p>
          <w:p>
            <w:pPr>
              <w:pStyle w:val="0"/>
            </w:pPr>
            <w:r>
              <w:rPr>
                <w:sz w:val="20"/>
              </w:rPr>
              <w:t xml:space="preserve">от 3 до 5 шт. - 1 балл;</w:t>
            </w:r>
          </w:p>
          <w:p>
            <w:pPr>
              <w:pStyle w:val="0"/>
            </w:pPr>
            <w:r>
              <w:rPr>
                <w:sz w:val="20"/>
              </w:rPr>
              <w:t xml:space="preserve">до 3 шт. - 0 баллов.</w:t>
            </w:r>
          </w:p>
          <w:p>
            <w:pPr>
              <w:pStyle w:val="0"/>
            </w:pPr>
            <w:r>
              <w:rPr>
                <w:sz w:val="20"/>
              </w:rPr>
              <w:t xml:space="preserve">3. Наличие парковок:</w:t>
            </w:r>
          </w:p>
          <w:p>
            <w:pPr>
              <w:pStyle w:val="0"/>
            </w:pPr>
            <w:r>
              <w:rPr>
                <w:sz w:val="20"/>
              </w:rPr>
              <w:t xml:space="preserve">более 2 шт. - 5 баллов;</w:t>
            </w:r>
          </w:p>
          <w:p>
            <w:pPr>
              <w:pStyle w:val="0"/>
            </w:pPr>
            <w:r>
              <w:rPr>
                <w:sz w:val="20"/>
              </w:rPr>
              <w:t xml:space="preserve">1-2 шт. - 3 балла;</w:t>
            </w:r>
          </w:p>
          <w:p>
            <w:pPr>
              <w:pStyle w:val="0"/>
            </w:pPr>
            <w:r>
              <w:rPr>
                <w:sz w:val="20"/>
              </w:rPr>
              <w:t xml:space="preserve">отсутствуют - 0 баллов.</w:t>
            </w:r>
          </w:p>
          <w:p>
            <w:pPr>
              <w:pStyle w:val="0"/>
            </w:pPr>
            <w:r>
              <w:rPr>
                <w:sz w:val="20"/>
              </w:rPr>
              <w:t xml:space="preserve">4. Пункты общественного питания:</w:t>
            </w:r>
          </w:p>
          <w:p>
            <w:pPr>
              <w:pStyle w:val="0"/>
            </w:pPr>
            <w:r>
              <w:rPr>
                <w:sz w:val="20"/>
              </w:rPr>
              <w:t xml:space="preserve">присутствуют - 5 баллов;</w:t>
            </w:r>
          </w:p>
          <w:p>
            <w:pPr>
              <w:pStyle w:val="0"/>
            </w:pPr>
            <w:r>
              <w:rPr>
                <w:sz w:val="20"/>
              </w:rPr>
              <w:t xml:space="preserve">отсутствуют - 0 баллов.</w:t>
            </w:r>
          </w:p>
          <w:p>
            <w:pPr>
              <w:pStyle w:val="0"/>
            </w:pPr>
            <w:r>
              <w:rPr>
                <w:sz w:val="20"/>
              </w:rPr>
              <w:t xml:space="preserve">5. Зоны отдыха/скамейки:</w:t>
            </w:r>
          </w:p>
          <w:p>
            <w:pPr>
              <w:pStyle w:val="0"/>
            </w:pPr>
            <w:r>
              <w:rPr>
                <w:sz w:val="20"/>
              </w:rPr>
              <w:t xml:space="preserve">присутствуют - 5 баллов;</w:t>
            </w:r>
          </w:p>
          <w:p>
            <w:pPr>
              <w:pStyle w:val="0"/>
            </w:pPr>
            <w:r>
              <w:rPr>
                <w:sz w:val="20"/>
              </w:rPr>
              <w:t xml:space="preserve">отсутствуют - 0 баллов.</w:t>
            </w:r>
          </w:p>
          <w:p>
            <w:pPr>
              <w:pStyle w:val="0"/>
            </w:pPr>
            <w:r>
              <w:rPr>
                <w:sz w:val="20"/>
              </w:rPr>
              <w:t xml:space="preserve">6. Протяженность маршрута:</w:t>
            </w:r>
          </w:p>
          <w:p>
            <w:pPr>
              <w:pStyle w:val="0"/>
            </w:pPr>
            <w:r>
              <w:rPr>
                <w:sz w:val="20"/>
              </w:rPr>
              <w:t xml:space="preserve">более 3 км - 5 баллов;</w:t>
            </w:r>
          </w:p>
          <w:p>
            <w:pPr>
              <w:pStyle w:val="0"/>
            </w:pPr>
            <w:r>
              <w:rPr>
                <w:sz w:val="20"/>
              </w:rPr>
              <w:t xml:space="preserve">от 2 до 3 км - 3 балла;</w:t>
            </w:r>
          </w:p>
          <w:p>
            <w:pPr>
              <w:pStyle w:val="0"/>
            </w:pPr>
            <w:r>
              <w:rPr>
                <w:sz w:val="20"/>
              </w:rPr>
              <w:t xml:space="preserve">менее 2 км - 0 баллов</w:t>
            </w:r>
          </w:p>
        </w:tc>
        <w:tc>
          <w:tcPr>
            <w:tcW w:w="1190" w:type="dxa"/>
          </w:tcPr>
          <w:p>
            <w:pPr>
              <w:pStyle w:val="0"/>
              <w:jc w:val="center"/>
            </w:pPr>
            <w:r>
              <w:rPr>
                <w:sz w:val="20"/>
              </w:rPr>
              <w:t xml:space="preserve">40</w:t>
            </w:r>
          </w:p>
        </w:tc>
      </w:tr>
      <w:tr>
        <w:tc>
          <w:tcPr>
            <w:tcW w:w="510" w:type="dxa"/>
          </w:tcPr>
          <w:p>
            <w:pPr>
              <w:pStyle w:val="0"/>
              <w:jc w:val="center"/>
            </w:pPr>
            <w:r>
              <w:rPr>
                <w:sz w:val="20"/>
              </w:rPr>
              <w:t xml:space="preserve">2</w:t>
            </w:r>
          </w:p>
        </w:tc>
        <w:tc>
          <w:tcPr>
            <w:tcW w:w="3628" w:type="dxa"/>
          </w:tcPr>
          <w:p>
            <w:pPr>
              <w:pStyle w:val="0"/>
            </w:pPr>
            <w:r>
              <w:rPr>
                <w:sz w:val="20"/>
              </w:rPr>
              <w:t xml:space="preserve">Интеграция объектов инфраструктуры активных видов туризма в существующую сеть межпоселенческих/межрегиональных маршрутов для соответствующих активных видов туризма</w:t>
            </w:r>
          </w:p>
        </w:tc>
        <w:tc>
          <w:tcPr>
            <w:tcW w:w="3742" w:type="dxa"/>
          </w:tcPr>
          <w:p>
            <w:pPr>
              <w:pStyle w:val="0"/>
            </w:pPr>
            <w:r>
              <w:rPr>
                <w:sz w:val="20"/>
              </w:rPr>
              <w:t xml:space="preserve">Интеграция в маршруты (суммарно</w:t>
            </w:r>
          </w:p>
          <w:p>
            <w:pPr>
              <w:pStyle w:val="0"/>
            </w:pPr>
            <w:r>
              <w:rPr>
                <w:sz w:val="20"/>
              </w:rPr>
              <w:t xml:space="preserve">за каждый в совокупности):</w:t>
            </w:r>
          </w:p>
          <w:p>
            <w:pPr>
              <w:pStyle w:val="0"/>
            </w:pPr>
            <w:r>
              <w:rPr>
                <w:sz w:val="20"/>
              </w:rPr>
              <w:t xml:space="preserve">межрегиональные маршруты - 5 баллов;</w:t>
            </w:r>
          </w:p>
          <w:p>
            <w:pPr>
              <w:pStyle w:val="0"/>
            </w:pPr>
            <w:r>
              <w:rPr>
                <w:sz w:val="20"/>
              </w:rPr>
              <w:t xml:space="preserve">межпоселенческие маршруты - 3 балла;</w:t>
            </w:r>
          </w:p>
          <w:p>
            <w:pPr>
              <w:pStyle w:val="0"/>
            </w:pPr>
            <w:r>
              <w:rPr>
                <w:sz w:val="20"/>
              </w:rPr>
              <w:t xml:space="preserve">интеграция отсутствует - 0 баллов</w:t>
            </w:r>
          </w:p>
        </w:tc>
        <w:tc>
          <w:tcPr>
            <w:tcW w:w="1190" w:type="dxa"/>
          </w:tcPr>
          <w:p>
            <w:pPr>
              <w:pStyle w:val="0"/>
              <w:jc w:val="center"/>
            </w:pPr>
            <w:r>
              <w:rPr>
                <w:sz w:val="20"/>
              </w:rPr>
              <w:t xml:space="preserve">40</w:t>
            </w:r>
          </w:p>
        </w:tc>
      </w:tr>
      <w:tr>
        <w:tc>
          <w:tcPr>
            <w:tcW w:w="510" w:type="dxa"/>
          </w:tcPr>
          <w:p>
            <w:pPr>
              <w:pStyle w:val="0"/>
              <w:jc w:val="center"/>
            </w:pPr>
            <w:r>
              <w:rPr>
                <w:sz w:val="20"/>
              </w:rPr>
              <w:t xml:space="preserve">3</w:t>
            </w:r>
          </w:p>
        </w:tc>
        <w:tc>
          <w:tcPr>
            <w:tcW w:w="3628" w:type="dxa"/>
          </w:tcPr>
          <w:p>
            <w:pPr>
              <w:pStyle w:val="0"/>
            </w:pPr>
            <w:r>
              <w:rPr>
                <w:sz w:val="20"/>
              </w:rPr>
              <w:t xml:space="preserve">Мероприятия по размещению информации о созданных маршрутах на картографических сервисах (maps.me, OpenStreetMap.org, rutrail.org и др.)</w:t>
            </w:r>
          </w:p>
        </w:tc>
        <w:tc>
          <w:tcPr>
            <w:tcW w:w="3742" w:type="dxa"/>
          </w:tcPr>
          <w:p>
            <w:pPr>
              <w:pStyle w:val="0"/>
            </w:pPr>
            <w:r>
              <w:rPr>
                <w:sz w:val="20"/>
              </w:rPr>
              <w:t xml:space="preserve">Количество картографических сервисов, на которых размещена информация о маршрутах:</w:t>
            </w:r>
          </w:p>
          <w:p>
            <w:pPr>
              <w:pStyle w:val="0"/>
            </w:pPr>
            <w:r>
              <w:rPr>
                <w:sz w:val="20"/>
              </w:rPr>
              <w:t xml:space="preserve">более 4 шт. - 5 баллов;</w:t>
            </w:r>
          </w:p>
          <w:p>
            <w:pPr>
              <w:pStyle w:val="0"/>
            </w:pPr>
            <w:r>
              <w:rPr>
                <w:sz w:val="20"/>
              </w:rPr>
              <w:t xml:space="preserve">от 2 до 4 шт. - 3 балла;</w:t>
            </w:r>
          </w:p>
          <w:p>
            <w:pPr>
              <w:pStyle w:val="0"/>
            </w:pPr>
            <w:r>
              <w:rPr>
                <w:sz w:val="20"/>
              </w:rPr>
              <w:t xml:space="preserve">1 шт. - 1 балл;</w:t>
            </w:r>
          </w:p>
          <w:p>
            <w:pPr>
              <w:pStyle w:val="0"/>
            </w:pPr>
            <w:r>
              <w:rPr>
                <w:sz w:val="20"/>
              </w:rPr>
              <w:t xml:space="preserve">отсутствуют - 0 баллов</w:t>
            </w:r>
          </w:p>
        </w:tc>
        <w:tc>
          <w:tcPr>
            <w:tcW w:w="1190" w:type="dxa"/>
          </w:tcPr>
          <w:p>
            <w:pPr>
              <w:pStyle w:val="0"/>
              <w:jc w:val="center"/>
            </w:pPr>
            <w:r>
              <w:rPr>
                <w:sz w:val="20"/>
              </w:rPr>
              <w:t xml:space="preserve">20</w:t>
            </w:r>
          </w:p>
        </w:tc>
      </w:tr>
    </w:tbl>
    <w:p>
      <w:pPr>
        <w:pStyle w:val="0"/>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ind w:firstLine="540"/>
        <w:jc w:val="both"/>
      </w:pPr>
      <w:r>
        <w:rPr>
          <w:sz w:val="20"/>
        </w:rPr>
      </w:r>
    </w:p>
    <w:bookmarkStart w:id="1450" w:name="P1450"/>
    <w:bookmarkEnd w:id="1450"/>
    <w:p>
      <w:pPr>
        <w:pStyle w:val="2"/>
        <w:jc w:val="center"/>
      </w:pPr>
      <w:r>
        <w:rPr>
          <w:sz w:val="20"/>
        </w:rPr>
        <w:t xml:space="preserve">ПОРЯДОК</w:t>
      </w:r>
    </w:p>
    <w:p>
      <w:pPr>
        <w:pStyle w:val="2"/>
        <w:jc w:val="center"/>
      </w:pPr>
      <w:r>
        <w:rPr>
          <w:sz w:val="20"/>
        </w:rPr>
        <w:t xml:space="preserve">ОПРЕДЕЛЕНИЯ ОБЪЕМА И ПРЕДОСТАВЛЕНИЯ ИЗ ОБЛАСТНОГО БЮДЖЕТА</w:t>
      </w:r>
    </w:p>
    <w:p>
      <w:pPr>
        <w:pStyle w:val="2"/>
        <w:jc w:val="center"/>
      </w:pPr>
      <w:r>
        <w:rPr>
          <w:sz w:val="20"/>
        </w:rPr>
        <w:t xml:space="preserve">ЛЕНИНГРАДСКОЙ ОБЛАСТИ СУБСИДИЙ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РЕАЛИЗАЦИЮ ПРОЕКТОВ, НАПРАВЛЕННЫХ</w:t>
      </w:r>
    </w:p>
    <w:p>
      <w:pPr>
        <w:pStyle w:val="2"/>
        <w:jc w:val="center"/>
      </w:pPr>
      <w:r>
        <w:rPr>
          <w:sz w:val="20"/>
        </w:rPr>
        <w:t xml:space="preserve">НА ФОРМИРОВАНИЕ КОМФОРТНОЙ ТУРИСТСКОЙ СРЕДЫ</w:t>
      </w:r>
    </w:p>
    <w:p>
      <w:pPr>
        <w:pStyle w:val="2"/>
        <w:jc w:val="center"/>
      </w:pPr>
      <w:r>
        <w:rPr>
          <w:sz w:val="20"/>
        </w:rPr>
        <w:t xml:space="preserve">НА ТЕРРИТОРИИ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30.12.2022 </w:t>
            </w:r>
            <w:hyperlink w:history="0" r:id="rId93"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1013</w:t>
              </w:r>
            </w:hyperlink>
            <w:r>
              <w:rPr>
                <w:sz w:val="20"/>
                <w:color w:val="392c69"/>
              </w:rPr>
              <w:t xml:space="preserve">, от 27.03.2023 </w:t>
            </w:r>
            <w:hyperlink w:history="0" r:id="rId94"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в рамках структурного элемента "Комплекс процессных мероприятий "Развитие туристского потенциала Ленинградской области" государственной программы Ленинградской области "Развитие внутреннего и въездного туризма в Ленинградской области" (далее - субсидии, проекты).</w:t>
      </w:r>
    </w:p>
    <w:p>
      <w:pPr>
        <w:pStyle w:val="0"/>
        <w:spacing w:before="200" w:line-rule="auto"/>
        <w:ind w:firstLine="540"/>
        <w:jc w:val="both"/>
      </w:pPr>
      <w:r>
        <w:rPr>
          <w:sz w:val="20"/>
        </w:rPr>
        <w:t xml:space="preserve">1.2. В настоящем Порядке применяются следующие основные понятия:</w:t>
      </w:r>
    </w:p>
    <w:p>
      <w:pPr>
        <w:pStyle w:val="0"/>
        <w:spacing w:before="200" w:line-rule="auto"/>
        <w:ind w:firstLine="540"/>
        <w:jc w:val="both"/>
      </w:pPr>
      <w:r>
        <w:rPr>
          <w:sz w:val="20"/>
        </w:rPr>
        <w:t xml:space="preserve">главный распорядитель бюджетных средств - комитет по культуре и туризму Ленинградской области (далее - комитет);</w:t>
      </w:r>
    </w:p>
    <w:p>
      <w:pPr>
        <w:pStyle w:val="0"/>
        <w:spacing w:before="200" w:line-rule="auto"/>
        <w:ind w:firstLine="540"/>
        <w:jc w:val="both"/>
      </w:pPr>
      <w:r>
        <w:rPr>
          <w:sz w:val="20"/>
        </w:rPr>
        <w:t xml:space="preserve">комиссия - коллегиальный орган, образованный для проведения конкурса, формируемый комитетом из представителей органов государственной власти Ленинградской области, органов местного самоуправления Ленинградской области, учреждений, организаций в сфере туризма Ленинградской области. В состав комиссии в том числе включаются члены общественных советов при органах исполнительной власти Ленинградской области.</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bookmarkStart w:id="1468" w:name="P1468"/>
    <w:bookmarkEnd w:id="1468"/>
    <w:p>
      <w:pPr>
        <w:pStyle w:val="0"/>
        <w:spacing w:before="200" w:line-rule="auto"/>
        <w:ind w:firstLine="540"/>
        <w:jc w:val="both"/>
      </w:pPr>
      <w:r>
        <w:rPr>
          <w:sz w:val="20"/>
        </w:rPr>
        <w:t xml:space="preserve">1.3. Субсидии предоставляются в целях увеличения занятости и доходности в туристской сфере при реализации проектов, направленных на формирование комфортной туристской среды на территории Ленинградской области, по следующим направлениям:</w:t>
      </w:r>
    </w:p>
    <w:bookmarkStart w:id="1469" w:name="P1469"/>
    <w:bookmarkEnd w:id="1469"/>
    <w:p>
      <w:pPr>
        <w:pStyle w:val="0"/>
        <w:spacing w:before="200" w:line-rule="auto"/>
        <w:ind w:firstLine="540"/>
        <w:jc w:val="both"/>
      </w:pPr>
      <w:r>
        <w:rPr>
          <w:sz w:val="20"/>
        </w:rPr>
        <w:t xml:space="preserve">а) создание и развитие туристской инфраструктуры Ленинградской области;</w:t>
      </w:r>
    </w:p>
    <w:bookmarkStart w:id="1470" w:name="P1470"/>
    <w:bookmarkEnd w:id="1470"/>
    <w:p>
      <w:pPr>
        <w:pStyle w:val="0"/>
        <w:spacing w:before="200" w:line-rule="auto"/>
        <w:ind w:firstLine="540"/>
        <w:jc w:val="both"/>
      </w:pPr>
      <w:r>
        <w:rPr>
          <w:sz w:val="20"/>
        </w:rPr>
        <w:t xml:space="preserve">б) создание и развитие системы туристской навигации к объектам туристского показа Ленинградской области;</w:t>
      </w:r>
    </w:p>
    <w:bookmarkStart w:id="1471" w:name="P1471"/>
    <w:bookmarkEnd w:id="1471"/>
    <w:p>
      <w:pPr>
        <w:pStyle w:val="0"/>
        <w:spacing w:before="200" w:line-rule="auto"/>
        <w:ind w:firstLine="540"/>
        <w:jc w:val="both"/>
      </w:pPr>
      <w:r>
        <w:rPr>
          <w:sz w:val="20"/>
        </w:rPr>
        <w:t xml:space="preserve">в) организация и проведение событийных мероприятий в целях привлечения внутреннего и въездного туристских потоков на территорию Ленинградской области;</w:t>
      </w:r>
    </w:p>
    <w:bookmarkStart w:id="1472" w:name="P1472"/>
    <w:bookmarkEnd w:id="1472"/>
    <w:p>
      <w:pPr>
        <w:pStyle w:val="0"/>
        <w:spacing w:before="200" w:line-rule="auto"/>
        <w:ind w:firstLine="540"/>
        <w:jc w:val="both"/>
      </w:pPr>
      <w:r>
        <w:rPr>
          <w:sz w:val="20"/>
        </w:rPr>
        <w:t xml:space="preserve">г) реализация мероприятий по социальному туризму в Ленинградской области.</w:t>
      </w:r>
    </w:p>
    <w:p>
      <w:pPr>
        <w:pStyle w:val="0"/>
        <w:spacing w:before="200" w:line-rule="auto"/>
        <w:ind w:firstLine="540"/>
        <w:jc w:val="both"/>
      </w:pPr>
      <w:r>
        <w:rPr>
          <w:sz w:val="20"/>
        </w:rPr>
        <w:t xml:space="preserve">1.4.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history="0" w:anchor="P1468" w:tooltip="1.3. Субсидии предоставляются в целях увеличения занятости и доходности в туристской сфере при реализации проектов, направленных на формирование комфортной туристской среды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w:t>
      </w:r>
    </w:p>
    <w:bookmarkStart w:id="1474" w:name="P1474"/>
    <w:bookmarkEnd w:id="1474"/>
    <w:p>
      <w:pPr>
        <w:pStyle w:val="0"/>
        <w:spacing w:before="200" w:line-rule="auto"/>
        <w:ind w:firstLine="540"/>
        <w:jc w:val="both"/>
      </w:pPr>
      <w:r>
        <w:rPr>
          <w:sz w:val="20"/>
        </w:rPr>
        <w:t xml:space="preserve">1.5. Категории получателей субсидий - некоммерческие организации, зарегистрированные на территории Ленинградской области в качестве юридических лиц в порядке, установленном законодательством Российской Федерации, состоящие на налоговом учете в территориальном налоговом органе, реализующие проекты, указанные в </w:t>
      </w:r>
      <w:hyperlink w:history="0" w:anchor="P1468" w:tooltip="1.3. Субсидии предоставляются в целях увеличения занятости и доходности в туристской сфере при реализации проектов, направленных на формирование комфортной туристской среды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 уставные цели и виды деятельности которых направлены на формирование комфортной туристской среды на территории Ленинградской области (далее - участники конкурсного отбора, получатели субсидий).</w:t>
      </w:r>
    </w:p>
    <w:bookmarkStart w:id="1475" w:name="P1475"/>
    <w:bookmarkEnd w:id="1475"/>
    <w:p>
      <w:pPr>
        <w:pStyle w:val="0"/>
        <w:spacing w:before="200" w:line-rule="auto"/>
        <w:ind w:firstLine="540"/>
        <w:jc w:val="both"/>
      </w:pPr>
      <w:r>
        <w:rPr>
          <w:sz w:val="20"/>
        </w:rPr>
        <w:t xml:space="preserve">1.6. Критерии отбора получателей субсидий:</w:t>
      </w:r>
    </w:p>
    <w:p>
      <w:pPr>
        <w:pStyle w:val="0"/>
        <w:spacing w:before="200" w:line-rule="auto"/>
        <w:ind w:firstLine="540"/>
        <w:jc w:val="both"/>
      </w:pPr>
      <w:r>
        <w:rPr>
          <w:sz w:val="20"/>
        </w:rPr>
        <w:t xml:space="preserve">а) наличие у получателя субсидии опыта в реализации проектов, соответствующих цели предоставления субсидии, в течение трех лет, предшествовавших дате подачи заявки на участие в конкурсном отборе, соответствующих следующим характеристикам:</w:t>
      </w:r>
    </w:p>
    <w:p>
      <w:pPr>
        <w:pStyle w:val="0"/>
        <w:spacing w:before="200" w:line-rule="auto"/>
        <w:ind w:firstLine="540"/>
        <w:jc w:val="both"/>
      </w:pPr>
      <w:r>
        <w:rPr>
          <w:sz w:val="20"/>
        </w:rPr>
        <w:t xml:space="preserve">наличие процента от общей суммы расходов на реализацию проекта (объем внебюджетного софинансирования проекта);</w:t>
      </w:r>
    </w:p>
    <w:p>
      <w:pPr>
        <w:pStyle w:val="0"/>
        <w:spacing w:before="200" w:line-rule="auto"/>
        <w:ind w:firstLine="540"/>
        <w:jc w:val="both"/>
      </w:pPr>
      <w:r>
        <w:rPr>
          <w:sz w:val="20"/>
        </w:rPr>
        <w:t xml:space="preserve">функционирование проекта после завершения финансирования за счет предоставленной субсидии;</w:t>
      </w:r>
    </w:p>
    <w:p>
      <w:pPr>
        <w:pStyle w:val="0"/>
        <w:spacing w:before="200" w:line-rule="auto"/>
        <w:ind w:firstLine="540"/>
        <w:jc w:val="both"/>
      </w:pPr>
      <w:r>
        <w:rPr>
          <w:sz w:val="20"/>
        </w:rPr>
        <w:t xml:space="preserve">инновационность проекта в заявленной сфере;</w:t>
      </w:r>
    </w:p>
    <w:p>
      <w:pPr>
        <w:pStyle w:val="0"/>
        <w:spacing w:before="200" w:line-rule="auto"/>
        <w:ind w:firstLine="540"/>
        <w:jc w:val="both"/>
      </w:pPr>
      <w:r>
        <w:rPr>
          <w:sz w:val="20"/>
        </w:rPr>
        <w:t xml:space="preserve">актуальность проекта (характеристика проекта в заявленной сфере);</w:t>
      </w:r>
    </w:p>
    <w:p>
      <w:pPr>
        <w:pStyle w:val="0"/>
        <w:spacing w:before="200" w:line-rule="auto"/>
        <w:ind w:firstLine="540"/>
        <w:jc w:val="both"/>
      </w:pPr>
      <w:r>
        <w:rPr>
          <w:sz w:val="20"/>
        </w:rPr>
        <w:t xml:space="preserve">состав мероприятий в рамках реализации проекта;</w:t>
      </w:r>
    </w:p>
    <w:p>
      <w:pPr>
        <w:pStyle w:val="0"/>
        <w:spacing w:before="200" w:line-rule="auto"/>
        <w:ind w:firstLine="540"/>
        <w:jc w:val="both"/>
      </w:pPr>
      <w:r>
        <w:rPr>
          <w:sz w:val="20"/>
        </w:rPr>
        <w:t xml:space="preserve">заявленные в проекте финансовые требования (расходы) экономически обоснованы;</w:t>
      </w:r>
    </w:p>
    <w:p>
      <w:pPr>
        <w:pStyle w:val="0"/>
        <w:spacing w:before="200" w:line-rule="auto"/>
        <w:ind w:firstLine="540"/>
        <w:jc w:val="both"/>
      </w:pPr>
      <w:r>
        <w:rPr>
          <w:sz w:val="20"/>
        </w:rPr>
        <w:t xml:space="preserve">характеристика плана мероприятий проекта;</w:t>
      </w:r>
    </w:p>
    <w:p>
      <w:pPr>
        <w:pStyle w:val="0"/>
        <w:spacing w:before="200" w:line-rule="auto"/>
        <w:ind w:firstLine="540"/>
        <w:jc w:val="both"/>
      </w:pPr>
      <w:r>
        <w:rPr>
          <w:sz w:val="20"/>
        </w:rPr>
        <w:t xml:space="preserve">б) наличие у получателя субсидии информационного ресурса о его деятельности и периодичность его обновления;</w:t>
      </w:r>
    </w:p>
    <w:p>
      <w:pPr>
        <w:pStyle w:val="0"/>
        <w:spacing w:before="200" w:line-rule="auto"/>
        <w:ind w:firstLine="540"/>
        <w:jc w:val="both"/>
      </w:pPr>
      <w:r>
        <w:rPr>
          <w:sz w:val="20"/>
        </w:rPr>
        <w:t xml:space="preserve">в) наличие у получателя субсидии необходимых для целей предоставления субсидии материально-технических и кадровых ресурсов.</w:t>
      </w:r>
    </w:p>
    <w:p>
      <w:pPr>
        <w:pStyle w:val="0"/>
        <w:spacing w:before="200" w:line-rule="auto"/>
        <w:ind w:firstLine="540"/>
        <w:jc w:val="both"/>
      </w:pPr>
      <w:r>
        <w:rPr>
          <w:sz w:val="20"/>
        </w:rPr>
        <w:t xml:space="preserve">1.7. Способом отбора получателей субсидии является конкурс (далее - конкурсный отбор).</w:t>
      </w:r>
    </w:p>
    <w:p>
      <w:pPr>
        <w:pStyle w:val="0"/>
        <w:spacing w:before="200" w:line-rule="auto"/>
        <w:ind w:firstLine="540"/>
        <w:jc w:val="both"/>
      </w:pPr>
      <w:r>
        <w:rPr>
          <w:sz w:val="20"/>
        </w:rPr>
        <w:t xml:space="preserve">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pPr>
        <w:pStyle w:val="0"/>
        <w:jc w:val="both"/>
      </w:pPr>
      <w:r>
        <w:rPr>
          <w:sz w:val="20"/>
        </w:rPr>
        <w:t xml:space="preserve">(п. 1.8 в ред. </w:t>
      </w:r>
      <w:hyperlink w:history="0" r:id="rId95"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jc w:val="center"/>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r>
    </w:p>
    <w:bookmarkStart w:id="1492" w:name="P1492"/>
    <w:bookmarkEnd w:id="1492"/>
    <w:p>
      <w:pPr>
        <w:pStyle w:val="0"/>
        <w:ind w:firstLine="540"/>
        <w:jc w:val="both"/>
      </w:pPr>
      <w:r>
        <w:rPr>
          <w:sz w:val="20"/>
        </w:rPr>
        <w:t xml:space="preserve">2.1. Субсидии предоставляются при соблюдении следующих условий:</w:t>
      </w:r>
    </w:p>
    <w:p>
      <w:pPr>
        <w:pStyle w:val="0"/>
        <w:spacing w:before="200" w:line-rule="auto"/>
        <w:ind w:firstLine="540"/>
        <w:jc w:val="both"/>
      </w:pPr>
      <w:r>
        <w:rPr>
          <w:sz w:val="20"/>
        </w:rPr>
        <w:t xml:space="preserve">1) соответствие участника конкурсного отбора категориям, установленным </w:t>
      </w:r>
      <w:hyperlink w:history="0" w:anchor="P1474" w:tooltip="1.5. Категории получателей субсидий - некоммерческие организации, зарегистрированные на территории Ленинградской области в качестве юридических лиц в порядке, установленном законодательством Российской Федерации, состоящие на налоговом учете в территориальном налоговом органе, реализующие проекты, указанные в пункте 1.3 настоящего Порядка, уставные цели и виды деятельности которых направлены на формирование комфортной туристской среды на территории Ленинградской области (далее - участники конкурсного отб...">
        <w:r>
          <w:rPr>
            <w:sz w:val="20"/>
            <w:color w:val="0000ff"/>
          </w:rPr>
          <w:t xml:space="preserve">пунктом 1.5</w:t>
        </w:r>
      </w:hyperlink>
      <w:r>
        <w:rPr>
          <w:sz w:val="20"/>
        </w:rPr>
        <w:t xml:space="preserve"> настоящего Порядка;</w:t>
      </w:r>
    </w:p>
    <w:bookmarkStart w:id="1494" w:name="P1494"/>
    <w:bookmarkEnd w:id="1494"/>
    <w:p>
      <w:pPr>
        <w:pStyle w:val="0"/>
        <w:spacing w:before="200" w:line-rule="auto"/>
        <w:ind w:firstLine="540"/>
        <w:jc w:val="both"/>
      </w:pPr>
      <w:r>
        <w:rPr>
          <w:sz w:val="20"/>
        </w:rPr>
        <w:t xml:space="preserve">2) соответствие участника конкурсного отбора на дату подачи заявки следующим требованиям:</w:t>
      </w:r>
    </w:p>
    <w:p>
      <w:pPr>
        <w:pStyle w:val="0"/>
        <w:spacing w:before="200" w:line-rule="auto"/>
        <w:ind w:firstLine="540"/>
        <w:jc w:val="both"/>
      </w:pPr>
      <w:r>
        <w:rPr>
          <w:sz w:val="20"/>
        </w:rPr>
        <w:t xml:space="preserve">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pPr>
        <w:pStyle w:val="0"/>
        <w:spacing w:before="200" w:line-rule="auto"/>
        <w:ind w:firstLine="540"/>
        <w:jc w:val="both"/>
      </w:pPr>
      <w:r>
        <w:rPr>
          <w:sz w:val="20"/>
        </w:rPr>
        <w:t xml:space="preserve">в) в отношении участника конкурсного отбора отсутствует проведение процедуры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участник конкурсного отбора не должен находиться в реестре недобросовестных поставщиков,</w:t>
      </w:r>
    </w:p>
    <w:p>
      <w:pPr>
        <w:pStyle w:val="0"/>
        <w:spacing w:before="200" w:line-rule="auto"/>
        <w:ind w:firstLine="540"/>
        <w:jc w:val="both"/>
      </w:pPr>
      <w:r>
        <w:rPr>
          <w:sz w:val="20"/>
        </w:rPr>
        <w:t xml:space="preserve">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pPr>
        <w:pStyle w:val="0"/>
        <w:spacing w:before="200" w:line-rule="auto"/>
        <w:ind w:firstLine="540"/>
        <w:jc w:val="both"/>
      </w:pPr>
      <w:r>
        <w:rPr>
          <w:sz w:val="20"/>
        </w:rPr>
        <w:t xml:space="preserve">е) участник конкурсного отбора не имеет задолженности перед работниками по заработной плате,</w:t>
      </w:r>
    </w:p>
    <w:p>
      <w:pPr>
        <w:pStyle w:val="0"/>
        <w:spacing w:before="200" w:line-rule="auto"/>
        <w:ind w:firstLine="540"/>
        <w:jc w:val="both"/>
      </w:pPr>
      <w:r>
        <w:rPr>
          <w:sz w:val="20"/>
        </w:rPr>
        <w:t xml:space="preserve">ж) заработная плата работников не ниже размера, установленного региональным соглашением о минимальной заработной плате в Ленинградской области,</w:t>
      </w:r>
    </w:p>
    <w:p>
      <w:pPr>
        <w:pStyle w:val="0"/>
        <w:spacing w:before="200" w:line-rule="auto"/>
        <w:ind w:firstLine="540"/>
        <w:jc w:val="both"/>
      </w:pPr>
      <w:r>
        <w:rPr>
          <w:sz w:val="20"/>
        </w:rPr>
        <w:t xml:space="preserve">з) участник конкурсного отбора не является иностранным юридическим лицом, местом регистрации которого является в том числе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"з" в ред. </w:t>
      </w:r>
      <w:hyperlink w:history="0" r:id="rId96"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27.03.2023 N 197)</w:t>
      </w:r>
    </w:p>
    <w:p>
      <w:pPr>
        <w:pStyle w:val="0"/>
        <w:spacing w:before="200" w:line-rule="auto"/>
        <w:ind w:firstLine="540"/>
        <w:jc w:val="both"/>
      </w:pPr>
      <w:r>
        <w:rPr>
          <w:sz w:val="20"/>
        </w:rPr>
        <w:t xml:space="preserve">3)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pPr>
        <w:pStyle w:val="0"/>
        <w:spacing w:before="200" w:line-rule="auto"/>
        <w:ind w:firstLine="540"/>
        <w:jc w:val="both"/>
      </w:pPr>
      <w:r>
        <w:rPr>
          <w:sz w:val="20"/>
        </w:rPr>
        <w:t xml:space="preserve">4) согласие получателя субсидии на осуществление комитетом в отношении 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w:history="0" r:id="rId9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9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4 в ред. </w:t>
      </w:r>
      <w:hyperlink w:history="0" r:id="rId99"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5)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pPr>
        <w:pStyle w:val="0"/>
        <w:spacing w:before="200" w:line-rule="auto"/>
        <w:ind w:firstLine="540"/>
        <w:jc w:val="both"/>
      </w:pPr>
      <w:r>
        <w:rPr>
          <w:sz w:val="20"/>
        </w:rPr>
        <w:t xml:space="preserve">6) представление документов, указанных в </w:t>
      </w:r>
      <w:hyperlink w:history="0" w:anchor="P1535" w:tooltip="2.5. Для участия в конкурсном отборе участник представляет в комитет заявку, включающую следующие документы:">
        <w:r>
          <w:rPr>
            <w:sz w:val="20"/>
            <w:color w:val="0000ff"/>
          </w:rPr>
          <w:t xml:space="preserve">пункте 2.5</w:t>
        </w:r>
      </w:hyperlink>
      <w:r>
        <w:rPr>
          <w:sz w:val="20"/>
        </w:rPr>
        <w:t xml:space="preserve"> настоящего Порядка, в сроки, определенные в соответствии с </w:t>
      </w:r>
      <w:hyperlink w:history="0" w:anchor="P1519" w:tooltip="2.4.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quot;Интернет&quot;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Объявление о проведении конкурсного отбора содержит следующую информацию:">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2.2. Средства субсидии могут быть направлены на следующие виды расходов, связанных с реализацией проектов или отдельных мероприятий проектов, в том числе:</w:t>
      </w:r>
    </w:p>
    <w:p>
      <w:pPr>
        <w:pStyle w:val="0"/>
        <w:spacing w:before="200" w:line-rule="auto"/>
        <w:ind w:firstLine="540"/>
        <w:jc w:val="both"/>
      </w:pPr>
      <w:r>
        <w:rPr>
          <w:sz w:val="20"/>
        </w:rPr>
        <w:t xml:space="preserve">оплата труда персонала, в том числе привлекаемого для подготовки и реализации проектов, начисления на выплаты по оплате труда;</w:t>
      </w:r>
    </w:p>
    <w:p>
      <w:pPr>
        <w:pStyle w:val="0"/>
        <w:spacing w:before="200" w:line-rule="auto"/>
        <w:ind w:firstLine="540"/>
        <w:jc w:val="both"/>
      </w:pPr>
      <w:r>
        <w:rPr>
          <w:sz w:val="20"/>
        </w:rPr>
        <w:t xml:space="preserve">оплата товаров, работ, услуг (услуги связи, транспортные услуги, арендная плата за пользование имуществом, прочие работы и услуги);</w:t>
      </w:r>
    </w:p>
    <w:p>
      <w:pPr>
        <w:pStyle w:val="0"/>
        <w:spacing w:before="200" w:line-rule="auto"/>
        <w:ind w:firstLine="540"/>
        <w:jc w:val="both"/>
      </w:pPr>
      <w:r>
        <w:rPr>
          <w:sz w:val="20"/>
        </w:rPr>
        <w:t xml:space="preserve">оплата налогов и иных сборов, установленных законодательством Российской Федерации;</w:t>
      </w:r>
    </w:p>
    <w:p>
      <w:pPr>
        <w:pStyle w:val="0"/>
        <w:spacing w:before="200" w:line-rule="auto"/>
        <w:ind w:firstLine="540"/>
        <w:jc w:val="both"/>
      </w:pPr>
      <w:r>
        <w:rPr>
          <w:sz w:val="20"/>
        </w:rPr>
        <w:t xml:space="preserve">прочие расходы, непосредственно связанные с осуществлением мероприятий по реализации проектов.</w:t>
      </w:r>
    </w:p>
    <w:p>
      <w:pPr>
        <w:pStyle w:val="0"/>
        <w:spacing w:before="200" w:line-rule="auto"/>
        <w:ind w:firstLine="540"/>
        <w:jc w:val="both"/>
      </w:pPr>
      <w:r>
        <w:rPr>
          <w:sz w:val="20"/>
        </w:rPr>
        <w:t xml:space="preserve">2.2.1. Субсидия не может быть направлена:</w:t>
      </w:r>
    </w:p>
    <w:p>
      <w:pPr>
        <w:pStyle w:val="0"/>
        <w:spacing w:before="200" w:line-rule="auto"/>
        <w:ind w:firstLine="540"/>
        <w:jc w:val="both"/>
      </w:pPr>
      <w:r>
        <w:rPr>
          <w:sz w:val="20"/>
        </w:rPr>
        <w:t xml:space="preserve">на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на расходы, связанные с осуществлением деятельности, не связанной с реализацией проекта;</w:t>
      </w:r>
    </w:p>
    <w:p>
      <w:pPr>
        <w:pStyle w:val="0"/>
        <w:spacing w:before="200" w:line-rule="auto"/>
        <w:ind w:firstLine="540"/>
        <w:jc w:val="both"/>
      </w:pPr>
      <w:r>
        <w:rPr>
          <w:sz w:val="20"/>
        </w:rPr>
        <w:t xml:space="preserve">на расходы на оплату кредитов и займов.</w:t>
      </w:r>
    </w:p>
    <w:p>
      <w:pPr>
        <w:pStyle w:val="0"/>
        <w:spacing w:before="200" w:line-rule="auto"/>
        <w:ind w:firstLine="540"/>
        <w:jc w:val="both"/>
      </w:pPr>
      <w:r>
        <w:rPr>
          <w:sz w:val="20"/>
        </w:rPr>
        <w:t xml:space="preserve">2.3. Субсидии предоставляются по результатам конкурсного отбора.</w:t>
      </w:r>
    </w:p>
    <w:bookmarkStart w:id="1519" w:name="P1519"/>
    <w:bookmarkEnd w:id="1519"/>
    <w:p>
      <w:pPr>
        <w:pStyle w:val="0"/>
        <w:spacing w:before="200" w:line-rule="auto"/>
        <w:ind w:firstLine="540"/>
        <w:jc w:val="both"/>
      </w:pPr>
      <w:r>
        <w:rPr>
          <w:sz w:val="20"/>
        </w:rPr>
        <w:t xml:space="preserve">2.4.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Объявление о проведении конкурсного отбора содержит следующую информацию:</w:t>
      </w:r>
    </w:p>
    <w:p>
      <w:pPr>
        <w:pStyle w:val="0"/>
        <w:spacing w:before="200" w:line-rule="auto"/>
        <w:ind w:firstLine="540"/>
        <w:jc w:val="both"/>
      </w:pPr>
      <w:r>
        <w:rPr>
          <w:sz w:val="20"/>
        </w:rPr>
        <w:t xml:space="preserve">а) срок проведения конкурсного отбора;</w:t>
      </w:r>
    </w:p>
    <w:p>
      <w:pPr>
        <w:pStyle w:val="0"/>
        <w:spacing w:before="200" w:line-rule="auto"/>
        <w:ind w:firstLine="540"/>
        <w:jc w:val="both"/>
      </w:pPr>
      <w:r>
        <w:rPr>
          <w:sz w:val="20"/>
        </w:rPr>
        <w:t xml:space="preserve">б) дату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в) 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г) результаты предоставления субсидий в соответствии с </w:t>
      </w:r>
      <w:hyperlink w:history="0" w:anchor="P1673" w:tooltip="2.20. Планируемым результатом предоставления субсидии являются реализованные проекты, направленные на формирование комфортной туристской среды на территории Ленинградской области.">
        <w:r>
          <w:rPr>
            <w:sz w:val="20"/>
            <w:color w:val="0000ff"/>
          </w:rPr>
          <w:t xml:space="preserve">пунктом 2.20</w:t>
        </w:r>
      </w:hyperlink>
      <w:r>
        <w:rPr>
          <w:sz w:val="20"/>
        </w:rPr>
        <w:t xml:space="preserve"> настоящего Порядка;</w:t>
      </w:r>
    </w:p>
    <w:p>
      <w:pPr>
        <w:pStyle w:val="0"/>
        <w:spacing w:before="200" w:line-rule="auto"/>
        <w:ind w:firstLine="540"/>
        <w:jc w:val="both"/>
      </w:pPr>
      <w:r>
        <w:rPr>
          <w:sz w:val="20"/>
        </w:rPr>
        <w:t xml:space="preserve">д)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е) требования к участникам конкурсного отбора в соответствии с </w:t>
      </w:r>
      <w:hyperlink w:history="0" w:anchor="P1492" w:tooltip="2.1. Субсидии предоставляются при соблюдении следующих условий:">
        <w:r>
          <w:rPr>
            <w:sz w:val="20"/>
            <w:color w:val="0000ff"/>
          </w:rPr>
          <w:t xml:space="preserve">пунктом 2.1</w:t>
        </w:r>
      </w:hyperlink>
      <w:r>
        <w:rPr>
          <w:sz w:val="20"/>
        </w:rPr>
        <w:t xml:space="preserve">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w:t>
      </w:r>
      <w:hyperlink w:history="0" w:anchor="P1535"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ж)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pPr>
        <w:pStyle w:val="0"/>
        <w:spacing w:before="200" w:line-rule="auto"/>
        <w:ind w:firstLine="540"/>
        <w:jc w:val="both"/>
      </w:pPr>
      <w:r>
        <w:rPr>
          <w:sz w:val="20"/>
        </w:rPr>
        <w:t xml:space="preserve">з)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pPr>
        <w:pStyle w:val="0"/>
        <w:spacing w:before="200" w:line-rule="auto"/>
        <w:ind w:firstLine="540"/>
        <w:jc w:val="both"/>
      </w:pPr>
      <w:r>
        <w:rPr>
          <w:sz w:val="20"/>
        </w:rPr>
        <w:t xml:space="preserve">и) правила рассмотрения и оценки заявок участников конкурсного отбора;</w:t>
      </w:r>
    </w:p>
    <w:p>
      <w:pPr>
        <w:pStyle w:val="0"/>
        <w:spacing w:before="200" w:line-rule="auto"/>
        <w:ind w:firstLine="540"/>
        <w:jc w:val="both"/>
      </w:pPr>
      <w:r>
        <w:rPr>
          <w:sz w:val="20"/>
        </w:rPr>
        <w:t xml:space="preserve">к) 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л) срок, в течение которого победители конкурсного отбора должны подписать соглашения о предоставлении субсидии;</w:t>
      </w:r>
    </w:p>
    <w:p>
      <w:pPr>
        <w:pStyle w:val="0"/>
        <w:spacing w:before="200" w:line-rule="auto"/>
        <w:ind w:firstLine="540"/>
        <w:jc w:val="both"/>
      </w:pPr>
      <w:r>
        <w:rPr>
          <w:sz w:val="20"/>
        </w:rPr>
        <w:t xml:space="preserve">м) условия признания победителя (победителей) конкурсного отбора уклонившимся (уклонившимися) от заключения соглашения;</w:t>
      </w:r>
    </w:p>
    <w:p>
      <w:pPr>
        <w:pStyle w:val="0"/>
        <w:spacing w:before="200" w:line-rule="auto"/>
        <w:ind w:firstLine="540"/>
        <w:jc w:val="both"/>
      </w:pPr>
      <w:r>
        <w:rPr>
          <w:sz w:val="20"/>
        </w:rPr>
        <w:t xml:space="preserve">н) дату размещения результатов конкурсного отбора на едином портале (при наличии технической возможности) и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Размещение объявления о проведении конкурсного отбора осуществляет секретарь комиссии.</w:t>
      </w:r>
    </w:p>
    <w:p>
      <w:pPr>
        <w:pStyle w:val="0"/>
        <w:spacing w:before="200" w:line-rule="auto"/>
        <w:ind w:firstLine="540"/>
        <w:jc w:val="both"/>
      </w:pPr>
      <w:r>
        <w:rPr>
          <w:sz w:val="20"/>
        </w:rPr>
        <w:t xml:space="preserve">Поступающие заявки регистрируются в соответствующем журнале в день поступления в комитет.</w:t>
      </w:r>
    </w:p>
    <w:bookmarkStart w:id="1535" w:name="P1535"/>
    <w:bookmarkEnd w:id="1535"/>
    <w:p>
      <w:pPr>
        <w:pStyle w:val="0"/>
        <w:spacing w:before="200" w:line-rule="auto"/>
        <w:ind w:firstLine="540"/>
        <w:jc w:val="both"/>
      </w:pPr>
      <w:r>
        <w:rPr>
          <w:sz w:val="20"/>
        </w:rPr>
        <w:t xml:space="preserve">2.5. Для участия в конкурсном отборе участник представляет в комитет заявку, включающую следующие документы:</w:t>
      </w:r>
    </w:p>
    <w:p>
      <w:pPr>
        <w:pStyle w:val="0"/>
        <w:spacing w:before="200" w:line-rule="auto"/>
        <w:ind w:firstLine="540"/>
        <w:jc w:val="both"/>
      </w:pPr>
      <w:r>
        <w:rPr>
          <w:sz w:val="20"/>
        </w:rPr>
        <w:t xml:space="preserve">а) заявление на предоставление субсидии по форме, утвержденной правовым актом комитета;</w:t>
      </w:r>
    </w:p>
    <w:p>
      <w:pPr>
        <w:pStyle w:val="0"/>
        <w:spacing w:before="200" w:line-rule="auto"/>
        <w:ind w:firstLine="540"/>
        <w:jc w:val="both"/>
      </w:pPr>
      <w:r>
        <w:rPr>
          <w:sz w:val="20"/>
        </w:rPr>
        <w:t xml:space="preserve">б) копию устава, заверенную подписью лица, имеющего право действовать без доверенности от имени некоммерческой организации (далее - руководитель), и печатью (при наличии);</w:t>
      </w:r>
    </w:p>
    <w:p>
      <w:pPr>
        <w:pStyle w:val="0"/>
        <w:spacing w:before="200" w:line-rule="auto"/>
        <w:ind w:firstLine="540"/>
        <w:jc w:val="both"/>
      </w:pPr>
      <w:r>
        <w:rPr>
          <w:sz w:val="20"/>
        </w:rPr>
        <w:t xml:space="preserve">в) справку об отсутствии просроченной задолженности по возврату в бюджет Ленинградской области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 заверенную подписями руководителя, главного бухгалтера и печатью (при наличии);</w:t>
      </w:r>
    </w:p>
    <w:p>
      <w:pPr>
        <w:pStyle w:val="0"/>
        <w:spacing w:before="200" w:line-rule="auto"/>
        <w:ind w:firstLine="540"/>
        <w:jc w:val="both"/>
      </w:pPr>
      <w:r>
        <w:rPr>
          <w:sz w:val="20"/>
        </w:rPr>
        <w:t xml:space="preserve">г) справку об отсутствии в отношении участника конкурсного отбора проведения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приостановления деятельности в порядке, предусмотренном законодательством Российской Федерации, заверенную подписью руководителя и печатью (при наличии);</w:t>
      </w:r>
    </w:p>
    <w:p>
      <w:pPr>
        <w:pStyle w:val="0"/>
        <w:spacing w:before="200" w:line-rule="auto"/>
        <w:ind w:firstLine="540"/>
        <w:jc w:val="both"/>
      </w:pPr>
      <w:r>
        <w:rPr>
          <w:sz w:val="20"/>
        </w:rPr>
        <w:t xml:space="preserve">д) справку о том, что участник отбора не находится в реестре недобросовестных поставщиков, заверенную подписью руководителя и печатью (при наличии);</w:t>
      </w:r>
    </w:p>
    <w:p>
      <w:pPr>
        <w:pStyle w:val="0"/>
        <w:spacing w:before="200" w:line-rule="auto"/>
        <w:ind w:firstLine="540"/>
        <w:jc w:val="both"/>
      </w:pPr>
      <w:r>
        <w:rPr>
          <w:sz w:val="20"/>
        </w:rPr>
        <w:t xml:space="preserve">е) справку о том, что в текущем финансовом году участник отбора не получал средства из бюджета Ленинградской области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pPr>
        <w:pStyle w:val="0"/>
        <w:spacing w:before="200" w:line-rule="auto"/>
        <w:ind w:firstLine="540"/>
        <w:jc w:val="both"/>
      </w:pPr>
      <w:r>
        <w:rPr>
          <w:sz w:val="20"/>
        </w:rPr>
        <w:t xml:space="preserve">ж) справку об отсутствии задолженности перед работниками по заработной плате, заверенную подписями руководителя, главного бухгалтера и печатью (при наличии);</w:t>
      </w:r>
    </w:p>
    <w:p>
      <w:pPr>
        <w:pStyle w:val="0"/>
        <w:spacing w:before="200" w:line-rule="auto"/>
        <w:ind w:firstLine="540"/>
        <w:jc w:val="both"/>
      </w:pPr>
      <w:r>
        <w:rPr>
          <w:sz w:val="20"/>
        </w:rPr>
        <w:t xml:space="preserve">з) справку о среднемесячной заработной плате работников, заверенную подписями руководителя, главного бухгалтера и печатью (при наличии);</w:t>
      </w:r>
    </w:p>
    <w:p>
      <w:pPr>
        <w:pStyle w:val="0"/>
        <w:spacing w:before="200" w:line-rule="auto"/>
        <w:ind w:firstLine="540"/>
        <w:jc w:val="both"/>
      </w:pPr>
      <w:r>
        <w:rPr>
          <w:sz w:val="20"/>
        </w:rPr>
        <w:t xml:space="preserve">и) копию документа, подтверждающего полномочия руководителя, заверенную подписью руководителя и печатью (при наличии);</w:t>
      </w:r>
    </w:p>
    <w:p>
      <w:pPr>
        <w:pStyle w:val="0"/>
        <w:spacing w:before="200" w:line-rule="auto"/>
        <w:ind w:firstLine="540"/>
        <w:jc w:val="both"/>
      </w:pPr>
      <w:r>
        <w:rPr>
          <w:sz w:val="20"/>
        </w:rPr>
        <w:t xml:space="preserve">к) презентацию проекта с кратким описанием, включая информацию о целях, задачах, расчетах, ожидаемом результате реализации проекта (в объеме не более 10 слайдов).</w:t>
      </w:r>
    </w:p>
    <w:p>
      <w:pPr>
        <w:pStyle w:val="0"/>
        <w:spacing w:before="200" w:line-rule="auto"/>
        <w:ind w:firstLine="540"/>
        <w:jc w:val="both"/>
      </w:pPr>
      <w:r>
        <w:rPr>
          <w:sz w:val="20"/>
        </w:rPr>
        <w:t xml:space="preserve">2.5.1.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pPr>
        <w:pStyle w:val="0"/>
        <w:spacing w:before="200" w:line-rule="auto"/>
        <w:ind w:firstLine="540"/>
        <w:jc w:val="both"/>
      </w:pPr>
      <w:r>
        <w:rPr>
          <w:sz w:val="20"/>
        </w:rPr>
        <w:t xml:space="preserve">выписка из Единого государственного реестра юридических лиц;</w:t>
      </w:r>
    </w:p>
    <w:p>
      <w:pPr>
        <w:pStyle w:val="0"/>
        <w:spacing w:before="200" w:line-rule="auto"/>
        <w:ind w:firstLine="540"/>
        <w:jc w:val="both"/>
      </w:pPr>
      <w:r>
        <w:rPr>
          <w:sz w:val="20"/>
        </w:rPr>
        <w:t xml:space="preserve">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pPr>
        <w:pStyle w:val="0"/>
        <w:spacing w:before="200" w:line-rule="auto"/>
        <w:ind w:firstLine="540"/>
        <w:jc w:val="both"/>
      </w:pPr>
      <w:r>
        <w:rPr>
          <w:sz w:val="20"/>
        </w:rPr>
        <w:t xml:space="preserve">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pPr>
        <w:pStyle w:val="0"/>
        <w:spacing w:before="200" w:line-rule="auto"/>
        <w:ind w:firstLine="540"/>
        <w:jc w:val="both"/>
      </w:pPr>
      <w:r>
        <w:rPr>
          <w:sz w:val="20"/>
        </w:rPr>
        <w:t xml:space="preserve">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2.6. Участник конкурсного отбора подает не более одной заявки для получения субсидии.</w:t>
      </w:r>
    </w:p>
    <w:p>
      <w:pPr>
        <w:pStyle w:val="0"/>
        <w:spacing w:before="200" w:line-rule="auto"/>
        <w:ind w:firstLine="540"/>
        <w:jc w:val="both"/>
      </w:pPr>
      <w:r>
        <w:rPr>
          <w:sz w:val="20"/>
        </w:rPr>
        <w:t xml:space="preserve">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 Указанные документы должны быть пронумерованы и прошиты, с обратной стороны скреплены печатью (при наличии), подписаны руководителем.</w:t>
      </w:r>
    </w:p>
    <w:p>
      <w:pPr>
        <w:pStyle w:val="0"/>
        <w:spacing w:before="200" w:line-rule="auto"/>
        <w:ind w:firstLine="540"/>
        <w:jc w:val="both"/>
      </w:pPr>
      <w:r>
        <w:rPr>
          <w:sz w:val="20"/>
        </w:rPr>
        <w:t xml:space="preserve">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pPr>
        <w:pStyle w:val="0"/>
        <w:spacing w:before="200" w:line-rule="auto"/>
        <w:ind w:firstLine="540"/>
        <w:jc w:val="both"/>
      </w:pPr>
      <w:r>
        <w:rPr>
          <w:sz w:val="20"/>
        </w:rPr>
        <w:t xml:space="preserve">Внесение изменений в заявку осуществляется путем отзыва и подачи новой заявки.</w:t>
      </w:r>
    </w:p>
    <w:p>
      <w:pPr>
        <w:pStyle w:val="0"/>
        <w:spacing w:before="200" w:line-rule="auto"/>
        <w:ind w:firstLine="540"/>
        <w:jc w:val="both"/>
      </w:pPr>
      <w:r>
        <w:rPr>
          <w:sz w:val="20"/>
        </w:rPr>
        <w:t xml:space="preserve">В случае поступления запроса от участника конкурсного отбора о разъяснении положений объявления о проведении конкурсного отбора комитет направляет посредством электронной почты ответ на запрос о разъяснении положений объявления о проведении конкурсного отбора в течение трех рабочих дней со дня поступления запроса (запрос должен содержать адрес электронной почты отправителя).</w:t>
      </w:r>
    </w:p>
    <w:p>
      <w:pPr>
        <w:pStyle w:val="0"/>
        <w:jc w:val="both"/>
      </w:pPr>
      <w:r>
        <w:rPr>
          <w:sz w:val="20"/>
        </w:rPr>
        <w:t xml:space="preserve">(абзац введен </w:t>
      </w:r>
      <w:hyperlink w:history="0" r:id="rId100"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pPr>
        <w:pStyle w:val="0"/>
        <w:spacing w:before="200" w:line-rule="auto"/>
        <w:ind w:firstLine="540"/>
        <w:jc w:val="both"/>
      </w:pPr>
      <w:r>
        <w:rPr>
          <w:sz w:val="20"/>
        </w:rP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history="0" w:anchor="P1638" w:tooltip="2.11. Основаниями для отклонения заявки участника конкурсного отбора на стадии рассмотрения и оценки заявок являются:">
        <w:r>
          <w:rPr>
            <w:sz w:val="20"/>
            <w:color w:val="0000ff"/>
          </w:rPr>
          <w:t xml:space="preserve">пунктами 2.11</w:t>
        </w:r>
      </w:hyperlink>
      <w:r>
        <w:rPr>
          <w:sz w:val="20"/>
        </w:rPr>
        <w:t xml:space="preserve"> и </w:t>
      </w:r>
      <w:hyperlink w:history="0" w:anchor="P1643" w:tooltip="2.12. Основаниями для отказа получателю субсидии в предоставлении субсидии являются:">
        <w:r>
          <w:rPr>
            <w:sz w:val="20"/>
            <w:color w:val="0000ff"/>
          </w:rPr>
          <w:t xml:space="preserve">2.12</w:t>
        </w:r>
      </w:hyperlink>
      <w:r>
        <w:rPr>
          <w:sz w:val="20"/>
        </w:rPr>
        <w:t xml:space="preserve"> настоящего Порядка, определяет победителя конкурсного отбора на основании критериев оценки заявок.</w:t>
      </w:r>
    </w:p>
    <w:p>
      <w:pPr>
        <w:pStyle w:val="0"/>
        <w:spacing w:before="200" w:line-rule="auto"/>
        <w:ind w:firstLine="540"/>
        <w:jc w:val="both"/>
      </w:pPr>
      <w:r>
        <w:rPr>
          <w:sz w:val="20"/>
        </w:rPr>
        <w:t xml:space="preserve">Рассмотрение заявок производится в соответствии с датой и временем их поступления в комиссию.</w:t>
      </w:r>
    </w:p>
    <w:p>
      <w:pPr>
        <w:pStyle w:val="0"/>
        <w:spacing w:before="200" w:line-rule="auto"/>
        <w:ind w:firstLine="540"/>
        <w:jc w:val="both"/>
      </w:pPr>
      <w:r>
        <w:rPr>
          <w:sz w:val="20"/>
        </w:rPr>
        <w:t xml:space="preserve">2.10. Представленные на конкурсный отбор заявки оцениваются комиссией по балльной системе в соответствии с критериями, указанными в </w:t>
      </w:r>
      <w:hyperlink w:history="0" w:anchor="P1475" w:tooltip="1.6. Критерии отбора получателей субсидий:">
        <w:r>
          <w:rPr>
            <w:sz w:val="20"/>
            <w:color w:val="0000ff"/>
          </w:rPr>
          <w:t xml:space="preserve">пункте 1.6</w:t>
        </w:r>
      </w:hyperlink>
      <w:r>
        <w:rPr>
          <w:sz w:val="20"/>
        </w:rPr>
        <w:t xml:space="preserve"> настоящего Порядка: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535"/>
        <w:gridCol w:w="3912"/>
      </w:tblGrid>
      <w:tr>
        <w:tc>
          <w:tcPr>
            <w:tcW w:w="624" w:type="dxa"/>
          </w:tcPr>
          <w:p>
            <w:pPr>
              <w:pStyle w:val="0"/>
              <w:jc w:val="center"/>
            </w:pPr>
            <w:r>
              <w:rPr>
                <w:sz w:val="20"/>
              </w:rPr>
              <w:t xml:space="preserve">N п/п</w:t>
            </w:r>
          </w:p>
        </w:tc>
        <w:tc>
          <w:tcPr>
            <w:tcW w:w="4535" w:type="dxa"/>
          </w:tcPr>
          <w:p>
            <w:pPr>
              <w:pStyle w:val="0"/>
              <w:jc w:val="center"/>
            </w:pPr>
            <w:r>
              <w:rPr>
                <w:sz w:val="20"/>
              </w:rPr>
              <w:t xml:space="preserve">Наименование критерия</w:t>
            </w:r>
          </w:p>
        </w:tc>
        <w:tc>
          <w:tcPr>
            <w:tcW w:w="3912" w:type="dxa"/>
          </w:tcPr>
          <w:p>
            <w:pPr>
              <w:pStyle w:val="0"/>
              <w:jc w:val="center"/>
            </w:pPr>
            <w:r>
              <w:rPr>
                <w:sz w:val="20"/>
              </w:rPr>
              <w:t xml:space="preserve">Количество баллов</w:t>
            </w:r>
          </w:p>
        </w:tc>
      </w:tr>
      <w:tr>
        <w:tc>
          <w:tcPr>
            <w:tcW w:w="624" w:type="dxa"/>
          </w:tcPr>
          <w:p>
            <w:pPr>
              <w:pStyle w:val="0"/>
              <w:jc w:val="center"/>
            </w:pPr>
            <w:r>
              <w:rPr>
                <w:sz w:val="20"/>
              </w:rPr>
              <w:t xml:space="preserve">1</w:t>
            </w:r>
          </w:p>
        </w:tc>
        <w:tc>
          <w:tcPr>
            <w:tcW w:w="4535" w:type="dxa"/>
          </w:tcPr>
          <w:p>
            <w:pPr>
              <w:pStyle w:val="0"/>
              <w:jc w:val="center"/>
            </w:pPr>
            <w:r>
              <w:rPr>
                <w:sz w:val="20"/>
              </w:rPr>
              <w:t xml:space="preserve">2</w:t>
            </w:r>
          </w:p>
        </w:tc>
        <w:tc>
          <w:tcPr>
            <w:tcW w:w="3912" w:type="dxa"/>
          </w:tcPr>
          <w:p>
            <w:pPr>
              <w:pStyle w:val="0"/>
              <w:jc w:val="center"/>
            </w:pPr>
            <w:r>
              <w:rPr>
                <w:sz w:val="20"/>
              </w:rPr>
              <w:t xml:space="preserve">3</w:t>
            </w:r>
          </w:p>
        </w:tc>
      </w:tr>
      <w:tr>
        <w:tc>
          <w:tcPr>
            <w:tcW w:w="624" w:type="dxa"/>
            <w:vMerge w:val="restart"/>
          </w:tcPr>
          <w:p>
            <w:pPr>
              <w:pStyle w:val="0"/>
              <w:jc w:val="center"/>
            </w:pPr>
            <w:r>
              <w:rPr>
                <w:sz w:val="20"/>
              </w:rPr>
              <w:t xml:space="preserve">1</w:t>
            </w:r>
          </w:p>
        </w:tc>
        <w:tc>
          <w:tcPr>
            <w:tcW w:w="4535" w:type="dxa"/>
            <w:vMerge w:val="restart"/>
          </w:tcPr>
          <w:p>
            <w:pPr>
              <w:pStyle w:val="0"/>
            </w:pPr>
            <w:r>
              <w:rPr>
                <w:sz w:val="20"/>
              </w:rPr>
              <w:t xml:space="preserve">Наличие у получателя субсидии опыта в реализации проектов, соответствующих цели предоставления субсидии, в течение трех лет, предшествовавших дате подачи заявок на участие в конкурсном отборе, соответствующих следующим характеристикам:</w:t>
            </w:r>
          </w:p>
        </w:tc>
        <w:tc>
          <w:tcPr>
            <w:tcW w:w="3912" w:type="dxa"/>
          </w:tcPr>
          <w:p>
            <w:pPr>
              <w:pStyle w:val="0"/>
            </w:pPr>
            <w:r>
              <w:rPr>
                <w:sz w:val="20"/>
              </w:rPr>
              <w:t xml:space="preserve">3 проекта и более - 20 баллов</w:t>
            </w:r>
          </w:p>
        </w:tc>
      </w:tr>
      <w:tr>
        <w:tc>
          <w:tcPr>
            <w:vMerge w:val="continue"/>
          </w:tcPr>
          <w:p/>
        </w:tc>
        <w:tc>
          <w:tcPr>
            <w:vMerge w:val="continue"/>
          </w:tcPr>
          <w:p/>
        </w:tc>
        <w:tc>
          <w:tcPr>
            <w:tcW w:w="3912" w:type="dxa"/>
          </w:tcPr>
          <w:p>
            <w:pPr>
              <w:pStyle w:val="0"/>
            </w:pPr>
            <w:r>
              <w:rPr>
                <w:sz w:val="20"/>
              </w:rPr>
              <w:t xml:space="preserve">2 проекта - 10 баллов</w:t>
            </w:r>
          </w:p>
        </w:tc>
      </w:tr>
      <w:tr>
        <w:tc>
          <w:tcPr>
            <w:vMerge w:val="continue"/>
          </w:tcPr>
          <w:p/>
        </w:tc>
        <w:tc>
          <w:tcPr>
            <w:vMerge w:val="continue"/>
          </w:tcPr>
          <w:p/>
        </w:tc>
        <w:tc>
          <w:tcPr>
            <w:tcW w:w="3912" w:type="dxa"/>
          </w:tcPr>
          <w:p>
            <w:pPr>
              <w:pStyle w:val="0"/>
            </w:pPr>
            <w:r>
              <w:rPr>
                <w:sz w:val="20"/>
              </w:rPr>
              <w:t xml:space="preserve">1 проект - 5 баллов</w:t>
            </w:r>
          </w:p>
        </w:tc>
      </w:tr>
      <w:tr>
        <w:tc>
          <w:tcPr>
            <w:vMerge w:val="continue"/>
          </w:tcPr>
          <w:p/>
        </w:tc>
        <w:tc>
          <w:tcPr>
            <w:vMerge w:val="continue"/>
          </w:tcPr>
          <w:p/>
        </w:tc>
        <w:tc>
          <w:tcPr>
            <w:tcW w:w="3912" w:type="dxa"/>
          </w:tcPr>
          <w:p>
            <w:pPr>
              <w:pStyle w:val="0"/>
            </w:pPr>
            <w:r>
              <w:rPr>
                <w:sz w:val="20"/>
              </w:rPr>
              <w:t xml:space="preserve">0 проектов - 0 баллов</w:t>
            </w:r>
          </w:p>
        </w:tc>
      </w:tr>
      <w:tr>
        <w:tc>
          <w:tcPr>
            <w:tcW w:w="624" w:type="dxa"/>
            <w:vMerge w:val="restart"/>
          </w:tcPr>
          <w:p>
            <w:pPr>
              <w:pStyle w:val="0"/>
              <w:jc w:val="center"/>
            </w:pPr>
            <w:r>
              <w:rPr>
                <w:sz w:val="20"/>
              </w:rPr>
              <w:t xml:space="preserve">1.1</w:t>
            </w:r>
          </w:p>
        </w:tc>
        <w:tc>
          <w:tcPr>
            <w:tcW w:w="4535" w:type="dxa"/>
            <w:vMerge w:val="restart"/>
          </w:tcPr>
          <w:p>
            <w:pPr>
              <w:pStyle w:val="0"/>
            </w:pPr>
            <w:r>
              <w:rPr>
                <w:sz w:val="20"/>
              </w:rPr>
              <w:t xml:space="preserve">Наличие процента от общей суммы расходов на реализацию проекта (объем внебюджетного софинансирования проекта)</w:t>
            </w:r>
          </w:p>
        </w:tc>
        <w:tc>
          <w:tcPr>
            <w:tcW w:w="3912" w:type="dxa"/>
          </w:tcPr>
          <w:p>
            <w:pPr>
              <w:pStyle w:val="0"/>
            </w:pPr>
            <w:r>
              <w:rPr>
                <w:sz w:val="20"/>
              </w:rPr>
              <w:t xml:space="preserve">Более 20 проц. - 10 баллов</w:t>
            </w:r>
          </w:p>
        </w:tc>
      </w:tr>
      <w:tr>
        <w:tc>
          <w:tcPr>
            <w:vMerge w:val="continue"/>
          </w:tcPr>
          <w:p/>
        </w:tc>
        <w:tc>
          <w:tcPr>
            <w:vMerge w:val="continue"/>
          </w:tcPr>
          <w:p/>
        </w:tc>
        <w:tc>
          <w:tcPr>
            <w:tcW w:w="3912" w:type="dxa"/>
          </w:tcPr>
          <w:p>
            <w:pPr>
              <w:pStyle w:val="0"/>
            </w:pPr>
            <w:r>
              <w:rPr>
                <w:sz w:val="20"/>
              </w:rPr>
              <w:t xml:space="preserve">10-20 проц. - 5 баллов</w:t>
            </w:r>
          </w:p>
        </w:tc>
      </w:tr>
      <w:tr>
        <w:tc>
          <w:tcPr>
            <w:vMerge w:val="continue"/>
          </w:tcPr>
          <w:p/>
        </w:tc>
        <w:tc>
          <w:tcPr>
            <w:vMerge w:val="continue"/>
          </w:tcPr>
          <w:p/>
        </w:tc>
        <w:tc>
          <w:tcPr>
            <w:tcW w:w="3912" w:type="dxa"/>
          </w:tcPr>
          <w:p>
            <w:pPr>
              <w:pStyle w:val="0"/>
            </w:pPr>
            <w:r>
              <w:rPr>
                <w:sz w:val="20"/>
              </w:rPr>
              <w:t xml:space="preserve">1-9 проц. - 3 балла</w:t>
            </w:r>
          </w:p>
        </w:tc>
      </w:tr>
      <w:tr>
        <w:tc>
          <w:tcPr>
            <w:vMerge w:val="continue"/>
          </w:tcPr>
          <w:p/>
        </w:tc>
        <w:tc>
          <w:tcPr>
            <w:vMerge w:val="continue"/>
          </w:tcPr>
          <w:p/>
        </w:tc>
        <w:tc>
          <w:tcPr>
            <w:tcW w:w="3912" w:type="dxa"/>
          </w:tcPr>
          <w:p>
            <w:pPr>
              <w:pStyle w:val="0"/>
            </w:pPr>
            <w:r>
              <w:rPr>
                <w:sz w:val="20"/>
              </w:rPr>
              <w:t xml:space="preserve">0 проц. - 0 баллов</w:t>
            </w:r>
          </w:p>
        </w:tc>
      </w:tr>
      <w:tr>
        <w:tc>
          <w:tcPr>
            <w:tcW w:w="624" w:type="dxa"/>
            <w:vMerge w:val="restart"/>
          </w:tcPr>
          <w:p>
            <w:pPr>
              <w:pStyle w:val="0"/>
              <w:jc w:val="center"/>
            </w:pPr>
            <w:r>
              <w:rPr>
                <w:sz w:val="20"/>
              </w:rPr>
              <w:t xml:space="preserve">1.2</w:t>
            </w:r>
          </w:p>
        </w:tc>
        <w:tc>
          <w:tcPr>
            <w:tcW w:w="4535" w:type="dxa"/>
            <w:vMerge w:val="restart"/>
          </w:tcPr>
          <w:p>
            <w:pPr>
              <w:pStyle w:val="0"/>
            </w:pPr>
            <w:r>
              <w:rPr>
                <w:sz w:val="20"/>
              </w:rPr>
              <w:t xml:space="preserve">Функционирование проекта после завершения финансирования за счет предоставленной субсидии</w:t>
            </w:r>
          </w:p>
        </w:tc>
        <w:tc>
          <w:tcPr>
            <w:tcW w:w="3912" w:type="dxa"/>
          </w:tcPr>
          <w:p>
            <w:pPr>
              <w:pStyle w:val="0"/>
            </w:pPr>
            <w:r>
              <w:rPr>
                <w:sz w:val="20"/>
              </w:rPr>
              <w:t xml:space="preserve">Предусматривается функционирование проекта после завершения финансирования - 10 баллов</w:t>
            </w:r>
          </w:p>
        </w:tc>
      </w:tr>
      <w:tr>
        <w:tc>
          <w:tcPr>
            <w:vMerge w:val="continue"/>
          </w:tcPr>
          <w:p/>
        </w:tc>
        <w:tc>
          <w:tcPr>
            <w:vMerge w:val="continue"/>
          </w:tcPr>
          <w:p/>
        </w:tc>
        <w:tc>
          <w:tcPr>
            <w:tcW w:w="3912" w:type="dxa"/>
          </w:tcPr>
          <w:p>
            <w:pPr>
              <w:pStyle w:val="0"/>
            </w:pPr>
            <w:r>
              <w:rPr>
                <w:sz w:val="20"/>
              </w:rPr>
              <w:t xml:space="preserve">Предусматривается функционирование отдельных мероприятий проекта после завершения финансирования - 5 баллов</w:t>
            </w:r>
          </w:p>
        </w:tc>
      </w:tr>
      <w:tr>
        <w:tc>
          <w:tcPr>
            <w:vMerge w:val="continue"/>
          </w:tcPr>
          <w:p/>
        </w:tc>
        <w:tc>
          <w:tcPr>
            <w:vMerge w:val="continue"/>
          </w:tcPr>
          <w:p/>
        </w:tc>
        <w:tc>
          <w:tcPr>
            <w:tcW w:w="3912" w:type="dxa"/>
          </w:tcPr>
          <w:p>
            <w:pPr>
              <w:pStyle w:val="0"/>
            </w:pPr>
            <w:r>
              <w:rPr>
                <w:sz w:val="20"/>
              </w:rPr>
              <w:t xml:space="preserve">Функционирование проекта не предусматривается после завершения финансирования - 0 баллов</w:t>
            </w:r>
          </w:p>
        </w:tc>
      </w:tr>
      <w:tr>
        <w:tc>
          <w:tcPr>
            <w:tcW w:w="624" w:type="dxa"/>
            <w:vMerge w:val="restart"/>
          </w:tcPr>
          <w:p>
            <w:pPr>
              <w:pStyle w:val="0"/>
              <w:jc w:val="center"/>
            </w:pPr>
            <w:r>
              <w:rPr>
                <w:sz w:val="20"/>
              </w:rPr>
              <w:t xml:space="preserve">1.3</w:t>
            </w:r>
          </w:p>
        </w:tc>
        <w:tc>
          <w:tcPr>
            <w:tcW w:w="4535" w:type="dxa"/>
            <w:vMerge w:val="restart"/>
          </w:tcPr>
          <w:p>
            <w:pPr>
              <w:pStyle w:val="0"/>
            </w:pPr>
            <w:r>
              <w:rPr>
                <w:sz w:val="20"/>
              </w:rPr>
              <w:t xml:space="preserve">Инновационность проекта в заявленной сфере</w:t>
            </w:r>
          </w:p>
        </w:tc>
        <w:tc>
          <w:tcPr>
            <w:tcW w:w="3912" w:type="dxa"/>
          </w:tcPr>
          <w:p>
            <w:pPr>
              <w:pStyle w:val="0"/>
            </w:pPr>
            <w:r>
              <w:rPr>
                <w:sz w:val="20"/>
              </w:rPr>
              <w:t xml:space="preserve">Аналогичные проекты не реализовывались на территории Ленинградской области - 10 баллов</w:t>
            </w:r>
          </w:p>
        </w:tc>
      </w:tr>
      <w:tr>
        <w:tc>
          <w:tcPr>
            <w:vMerge w:val="continue"/>
          </w:tcPr>
          <w:p/>
        </w:tc>
        <w:tc>
          <w:tcPr>
            <w:vMerge w:val="continue"/>
          </w:tcPr>
          <w:p/>
        </w:tc>
        <w:tc>
          <w:tcPr>
            <w:tcW w:w="3912" w:type="dxa"/>
          </w:tcPr>
          <w:p>
            <w:pPr>
              <w:pStyle w:val="0"/>
            </w:pPr>
            <w:r>
              <w:rPr>
                <w:sz w:val="20"/>
              </w:rPr>
              <w:t xml:space="preserve">Аналогичные проекты реализовывались на территории Ленинградской области - 0 баллов</w:t>
            </w:r>
          </w:p>
        </w:tc>
      </w:tr>
      <w:tr>
        <w:tc>
          <w:tcPr>
            <w:tcW w:w="624" w:type="dxa"/>
            <w:vMerge w:val="restart"/>
          </w:tcPr>
          <w:p>
            <w:pPr>
              <w:pStyle w:val="0"/>
              <w:jc w:val="center"/>
            </w:pPr>
            <w:r>
              <w:rPr>
                <w:sz w:val="20"/>
              </w:rPr>
              <w:t xml:space="preserve">1.4</w:t>
            </w:r>
          </w:p>
        </w:tc>
        <w:tc>
          <w:tcPr>
            <w:tcW w:w="4535" w:type="dxa"/>
            <w:vMerge w:val="restart"/>
          </w:tcPr>
          <w:p>
            <w:pPr>
              <w:pStyle w:val="0"/>
            </w:pPr>
            <w:r>
              <w:rPr>
                <w:sz w:val="20"/>
              </w:rPr>
              <w:t xml:space="preserve">Актуальность проекта (характеристика проекта в заявленной сфере)</w:t>
            </w:r>
          </w:p>
        </w:tc>
        <w:tc>
          <w:tcPr>
            <w:tcW w:w="3912" w:type="dxa"/>
          </w:tcPr>
          <w:p>
            <w:pPr>
              <w:pStyle w:val="0"/>
            </w:pPr>
            <w:r>
              <w:rPr>
                <w:sz w:val="20"/>
              </w:rPr>
              <w:t xml:space="preserve">Проект актуален, направлен на решение приоритетных задач в сфере туризма в Ленинградской области в полной мере - 10 баллов</w:t>
            </w:r>
          </w:p>
        </w:tc>
      </w:tr>
      <w:tr>
        <w:tc>
          <w:tcPr>
            <w:vMerge w:val="continue"/>
          </w:tcPr>
          <w:p/>
        </w:tc>
        <w:tc>
          <w:tcPr>
            <w:vMerge w:val="continue"/>
          </w:tcPr>
          <w:p/>
        </w:tc>
        <w:tc>
          <w:tcPr>
            <w:tcW w:w="3912" w:type="dxa"/>
          </w:tcPr>
          <w:p>
            <w:pPr>
              <w:pStyle w:val="0"/>
            </w:pPr>
            <w:r>
              <w:rPr>
                <w:sz w:val="20"/>
              </w:rPr>
              <w:t xml:space="preserve">Проект актуален, направлен на частичное решение приоритетных задач в сфере туризма - 5 баллов</w:t>
            </w:r>
          </w:p>
        </w:tc>
      </w:tr>
      <w:tr>
        <w:tc>
          <w:tcPr>
            <w:vMerge w:val="continue"/>
          </w:tcPr>
          <w:p/>
        </w:tc>
        <w:tc>
          <w:tcPr>
            <w:vMerge w:val="continue"/>
          </w:tcPr>
          <w:p/>
        </w:tc>
        <w:tc>
          <w:tcPr>
            <w:tcW w:w="3912" w:type="dxa"/>
          </w:tcPr>
          <w:p>
            <w:pPr>
              <w:pStyle w:val="0"/>
            </w:pPr>
            <w:r>
              <w:rPr>
                <w:sz w:val="20"/>
              </w:rPr>
              <w:t xml:space="preserve">Проект не актуален - 0 баллов</w:t>
            </w:r>
          </w:p>
        </w:tc>
      </w:tr>
      <w:tr>
        <w:tc>
          <w:tcPr>
            <w:tcW w:w="624" w:type="dxa"/>
            <w:vMerge w:val="restart"/>
          </w:tcPr>
          <w:p>
            <w:pPr>
              <w:pStyle w:val="0"/>
              <w:jc w:val="center"/>
            </w:pPr>
            <w:r>
              <w:rPr>
                <w:sz w:val="20"/>
              </w:rPr>
              <w:t xml:space="preserve">1.5</w:t>
            </w:r>
          </w:p>
        </w:tc>
        <w:tc>
          <w:tcPr>
            <w:tcW w:w="4535" w:type="dxa"/>
            <w:vMerge w:val="restart"/>
          </w:tcPr>
          <w:p>
            <w:pPr>
              <w:pStyle w:val="0"/>
            </w:pPr>
            <w:r>
              <w:rPr>
                <w:sz w:val="20"/>
              </w:rPr>
              <w:t xml:space="preserve">Состав мероприятий в рамках реализации проекта</w:t>
            </w:r>
          </w:p>
        </w:tc>
        <w:tc>
          <w:tcPr>
            <w:tcW w:w="3912" w:type="dxa"/>
          </w:tcPr>
          <w:p>
            <w:pPr>
              <w:pStyle w:val="0"/>
            </w:pPr>
            <w:r>
              <w:rPr>
                <w:sz w:val="20"/>
              </w:rPr>
              <w:t xml:space="preserve">1. Стоимость объектов туристской инфраструктуры (применимо к </w:t>
            </w:r>
            <w:hyperlink w:history="0" w:anchor="P1469" w:tooltip="а) создание и развитие туристской инфраструктуры Ленинградской области;">
              <w:r>
                <w:rPr>
                  <w:sz w:val="20"/>
                  <w:color w:val="0000ff"/>
                </w:rPr>
                <w:t xml:space="preserve">подпункту "а" пункта 1.3</w:t>
              </w:r>
            </w:hyperlink>
            <w:r>
              <w:rPr>
                <w:sz w:val="20"/>
              </w:rPr>
              <w:t xml:space="preserve"> настоящего Порядка):</w:t>
            </w:r>
          </w:p>
          <w:p>
            <w:pPr>
              <w:pStyle w:val="0"/>
            </w:pPr>
            <w:r>
              <w:rPr>
                <w:sz w:val="20"/>
              </w:rPr>
              <w:t xml:space="preserve">свыше 1000 тыс. рублей - 15 баллов;</w:t>
            </w:r>
          </w:p>
          <w:p>
            <w:pPr>
              <w:pStyle w:val="0"/>
            </w:pPr>
            <w:r>
              <w:rPr>
                <w:sz w:val="20"/>
              </w:rPr>
              <w:t xml:space="preserve">от 501 до 1000 тыс. рублей - 10 баллов;</w:t>
            </w:r>
          </w:p>
          <w:p>
            <w:pPr>
              <w:pStyle w:val="0"/>
            </w:pPr>
            <w:r>
              <w:rPr>
                <w:sz w:val="20"/>
              </w:rPr>
              <w:t xml:space="preserve">от 100 до 500 тыс. рублей - 5 баллов</w:t>
            </w:r>
          </w:p>
        </w:tc>
      </w:tr>
      <w:tr>
        <w:tc>
          <w:tcPr>
            <w:vMerge w:val="continue"/>
          </w:tcPr>
          <w:p/>
        </w:tc>
        <w:tc>
          <w:tcPr>
            <w:vMerge w:val="continue"/>
          </w:tcPr>
          <w:p/>
        </w:tc>
        <w:tc>
          <w:tcPr>
            <w:tcW w:w="3912" w:type="dxa"/>
          </w:tcPr>
          <w:p>
            <w:pPr>
              <w:pStyle w:val="0"/>
            </w:pPr>
            <w:r>
              <w:rPr>
                <w:sz w:val="20"/>
              </w:rPr>
              <w:t xml:space="preserve">2. Количество объектов туристской навигации (применимо к </w:t>
            </w:r>
            <w:hyperlink w:history="0" w:anchor="P1470" w:tooltip="б) создание и развитие системы туристской навигации к объектам туристского показа Ленинградской области;">
              <w:r>
                <w:rPr>
                  <w:sz w:val="20"/>
                  <w:color w:val="0000ff"/>
                </w:rPr>
                <w:t xml:space="preserve">подпункту "б" пункта 1.3</w:t>
              </w:r>
            </w:hyperlink>
            <w:r>
              <w:rPr>
                <w:sz w:val="20"/>
              </w:rPr>
              <w:t xml:space="preserve"> настоящего Порядка):</w:t>
            </w:r>
          </w:p>
          <w:p>
            <w:pPr>
              <w:pStyle w:val="0"/>
            </w:pPr>
            <w:r>
              <w:rPr>
                <w:sz w:val="20"/>
              </w:rPr>
              <w:t xml:space="preserve">более 50 - 15 баллов;</w:t>
            </w:r>
          </w:p>
          <w:p>
            <w:pPr>
              <w:pStyle w:val="0"/>
            </w:pPr>
            <w:r>
              <w:rPr>
                <w:sz w:val="20"/>
              </w:rPr>
              <w:t xml:space="preserve">от 10 до 50 - 10 баллов;</w:t>
            </w:r>
          </w:p>
          <w:p>
            <w:pPr>
              <w:pStyle w:val="0"/>
            </w:pPr>
            <w:r>
              <w:rPr>
                <w:sz w:val="20"/>
              </w:rPr>
              <w:t xml:space="preserve">до 10 - 5 баллов</w:t>
            </w:r>
          </w:p>
        </w:tc>
      </w:tr>
      <w:tr>
        <w:tc>
          <w:tcPr>
            <w:vMerge w:val="continue"/>
          </w:tcPr>
          <w:p/>
        </w:tc>
        <w:tc>
          <w:tcPr>
            <w:vMerge w:val="continue"/>
          </w:tcPr>
          <w:p/>
        </w:tc>
        <w:tc>
          <w:tcPr>
            <w:tcW w:w="3912" w:type="dxa"/>
          </w:tcPr>
          <w:p>
            <w:pPr>
              <w:pStyle w:val="0"/>
            </w:pPr>
            <w:r>
              <w:rPr>
                <w:sz w:val="20"/>
              </w:rPr>
              <w:t xml:space="preserve">3. Туристский поток (количество туристов и экскурсантов) (применимо к </w:t>
            </w:r>
            <w:hyperlink w:history="0" w:anchor="P1471" w:tooltip="в) организация и проведение событийных мероприятий в целях привлечения внутреннего и въездного туристских потоков на территорию Ленинградской области;">
              <w:r>
                <w:rPr>
                  <w:sz w:val="20"/>
                  <w:color w:val="0000ff"/>
                </w:rPr>
                <w:t xml:space="preserve">подпункту "в" пункта 1.3</w:t>
              </w:r>
            </w:hyperlink>
            <w:r>
              <w:rPr>
                <w:sz w:val="20"/>
              </w:rPr>
              <w:t xml:space="preserve"> настоящего Порядка):</w:t>
            </w:r>
          </w:p>
          <w:p>
            <w:pPr>
              <w:pStyle w:val="0"/>
            </w:pPr>
            <w:r>
              <w:rPr>
                <w:sz w:val="20"/>
              </w:rPr>
              <w:t xml:space="preserve">свыше 1500 чел. - 15 баллов;</w:t>
            </w:r>
          </w:p>
          <w:p>
            <w:pPr>
              <w:pStyle w:val="0"/>
            </w:pPr>
            <w:r>
              <w:rPr>
                <w:sz w:val="20"/>
              </w:rPr>
              <w:t xml:space="preserve">от 500 до 1500 чел. - 10 баллов;</w:t>
            </w:r>
          </w:p>
          <w:p>
            <w:pPr>
              <w:pStyle w:val="0"/>
            </w:pPr>
            <w:r>
              <w:rPr>
                <w:sz w:val="20"/>
              </w:rPr>
              <w:t xml:space="preserve">до 500 чел. - 5 баллов</w:t>
            </w:r>
          </w:p>
        </w:tc>
      </w:tr>
      <w:tr>
        <w:tc>
          <w:tcPr>
            <w:vMerge w:val="continue"/>
          </w:tcPr>
          <w:p/>
        </w:tc>
        <w:tc>
          <w:tcPr>
            <w:vMerge w:val="continue"/>
          </w:tcPr>
          <w:p/>
        </w:tc>
        <w:tc>
          <w:tcPr>
            <w:tcW w:w="3912" w:type="dxa"/>
          </w:tcPr>
          <w:p>
            <w:pPr>
              <w:pStyle w:val="0"/>
            </w:pPr>
            <w:r>
              <w:rPr>
                <w:sz w:val="20"/>
              </w:rPr>
              <w:t xml:space="preserve">4. Количество участников (применимо к </w:t>
            </w:r>
            <w:hyperlink w:history="0" w:anchor="P1472" w:tooltip="г) реализация мероприятий по социальному туризму в Ленинградской области.">
              <w:r>
                <w:rPr>
                  <w:sz w:val="20"/>
                  <w:color w:val="0000ff"/>
                </w:rPr>
                <w:t xml:space="preserve">подпункту "г" пункта 1.3</w:t>
              </w:r>
            </w:hyperlink>
            <w:r>
              <w:rPr>
                <w:sz w:val="20"/>
              </w:rPr>
              <w:t xml:space="preserve"> настоящего Порядка):</w:t>
            </w:r>
          </w:p>
          <w:p>
            <w:pPr>
              <w:pStyle w:val="0"/>
            </w:pPr>
            <w:r>
              <w:rPr>
                <w:sz w:val="20"/>
              </w:rPr>
              <w:t xml:space="preserve">свыше 150 чел. - 15 баллов;</w:t>
            </w:r>
          </w:p>
          <w:p>
            <w:pPr>
              <w:pStyle w:val="0"/>
            </w:pPr>
            <w:r>
              <w:rPr>
                <w:sz w:val="20"/>
              </w:rPr>
              <w:t xml:space="preserve">от 45 до 150 чел. - 10 баллов;</w:t>
            </w:r>
          </w:p>
          <w:p>
            <w:pPr>
              <w:pStyle w:val="0"/>
            </w:pPr>
            <w:r>
              <w:rPr>
                <w:sz w:val="20"/>
              </w:rPr>
              <w:t xml:space="preserve">до 45 чел. - 5 баллов</w:t>
            </w:r>
          </w:p>
        </w:tc>
      </w:tr>
      <w:tr>
        <w:tc>
          <w:tcPr>
            <w:tcW w:w="624" w:type="dxa"/>
            <w:vMerge w:val="restart"/>
          </w:tcPr>
          <w:p>
            <w:pPr>
              <w:pStyle w:val="0"/>
              <w:jc w:val="center"/>
            </w:pPr>
            <w:r>
              <w:rPr>
                <w:sz w:val="20"/>
              </w:rPr>
              <w:t xml:space="preserve">1.6</w:t>
            </w:r>
          </w:p>
        </w:tc>
        <w:tc>
          <w:tcPr>
            <w:tcW w:w="4535" w:type="dxa"/>
            <w:vMerge w:val="restart"/>
          </w:tcPr>
          <w:p>
            <w:pPr>
              <w:pStyle w:val="0"/>
            </w:pPr>
            <w:r>
              <w:rPr>
                <w:sz w:val="20"/>
              </w:rPr>
              <w:t xml:space="preserve">Заявленные в проекте финансовые требования (расходы) экономически обоснованы</w:t>
            </w:r>
          </w:p>
        </w:tc>
        <w:tc>
          <w:tcPr>
            <w:tcW w:w="3912" w:type="dxa"/>
          </w:tcPr>
          <w:p>
            <w:pPr>
              <w:pStyle w:val="0"/>
            </w:pPr>
            <w:r>
              <w:rPr>
                <w:sz w:val="20"/>
              </w:rPr>
              <w:t xml:space="preserve">Финансовые требования (расходы) на реализацию проекта соответствуют результатам его реализации - 10 баллов</w:t>
            </w:r>
          </w:p>
        </w:tc>
      </w:tr>
      <w:tr>
        <w:tc>
          <w:tcPr>
            <w:vMerge w:val="continue"/>
          </w:tcPr>
          <w:p/>
        </w:tc>
        <w:tc>
          <w:tcPr>
            <w:vMerge w:val="continue"/>
          </w:tcPr>
          <w:p/>
        </w:tc>
        <w:tc>
          <w:tcPr>
            <w:tcW w:w="3912" w:type="dxa"/>
          </w:tcPr>
          <w:p>
            <w:pPr>
              <w:pStyle w:val="0"/>
            </w:pPr>
            <w:r>
              <w:rPr>
                <w:sz w:val="20"/>
              </w:rPr>
              <w:t xml:space="preserve">Финансовые требования (расходы) на реализацию проекта частично соответствуют результатам его реализации - 5 баллов</w:t>
            </w:r>
          </w:p>
        </w:tc>
      </w:tr>
      <w:tr>
        <w:tc>
          <w:tcPr>
            <w:vMerge w:val="continue"/>
          </w:tcPr>
          <w:p/>
        </w:tc>
        <w:tc>
          <w:tcPr>
            <w:vMerge w:val="continue"/>
          </w:tcPr>
          <w:p/>
        </w:tc>
        <w:tc>
          <w:tcPr>
            <w:tcW w:w="3912" w:type="dxa"/>
          </w:tcPr>
          <w:p>
            <w:pPr>
              <w:pStyle w:val="0"/>
            </w:pPr>
            <w:r>
              <w:rPr>
                <w:sz w:val="20"/>
              </w:rPr>
              <w:t xml:space="preserve">Финансовые требования (расходы) на реализацию проекта не соответствуют результатам его реализации - 0 баллов</w:t>
            </w:r>
          </w:p>
        </w:tc>
      </w:tr>
      <w:tr>
        <w:tc>
          <w:tcPr>
            <w:tcW w:w="624" w:type="dxa"/>
            <w:vMerge w:val="restart"/>
          </w:tcPr>
          <w:p>
            <w:pPr>
              <w:pStyle w:val="0"/>
              <w:jc w:val="center"/>
            </w:pPr>
            <w:r>
              <w:rPr>
                <w:sz w:val="20"/>
              </w:rPr>
              <w:t xml:space="preserve">1.7</w:t>
            </w:r>
          </w:p>
        </w:tc>
        <w:tc>
          <w:tcPr>
            <w:tcW w:w="4535" w:type="dxa"/>
            <w:vMerge w:val="restart"/>
          </w:tcPr>
          <w:p>
            <w:pPr>
              <w:pStyle w:val="0"/>
            </w:pPr>
            <w:r>
              <w:rPr>
                <w:sz w:val="20"/>
              </w:rPr>
              <w:t xml:space="preserve">Характеристика плана мероприятий проекта</w:t>
            </w:r>
          </w:p>
        </w:tc>
        <w:tc>
          <w:tcPr>
            <w:tcW w:w="3912" w:type="dxa"/>
          </w:tcPr>
          <w:p>
            <w:pPr>
              <w:pStyle w:val="0"/>
            </w:pPr>
            <w:r>
              <w:rPr>
                <w:sz w:val="20"/>
              </w:rPr>
              <w:t xml:space="preserve">Реалистичен, обеспечен ресурсами - 5 баллов</w:t>
            </w:r>
          </w:p>
        </w:tc>
      </w:tr>
      <w:tr>
        <w:tc>
          <w:tcPr>
            <w:vMerge w:val="continue"/>
          </w:tcPr>
          <w:p/>
        </w:tc>
        <w:tc>
          <w:tcPr>
            <w:vMerge w:val="continue"/>
          </w:tcPr>
          <w:p/>
        </w:tc>
        <w:tc>
          <w:tcPr>
            <w:tcW w:w="3912" w:type="dxa"/>
          </w:tcPr>
          <w:p>
            <w:pPr>
              <w:pStyle w:val="0"/>
            </w:pPr>
            <w:r>
              <w:rPr>
                <w:sz w:val="20"/>
              </w:rPr>
              <w:t xml:space="preserve">Реалистичен, для достижения целей и решения задач проекта необходимо больше ресурсов - 3 балла</w:t>
            </w:r>
          </w:p>
        </w:tc>
      </w:tr>
      <w:tr>
        <w:tc>
          <w:tcPr>
            <w:vMerge w:val="continue"/>
          </w:tcPr>
          <w:p/>
        </w:tc>
        <w:tc>
          <w:tcPr>
            <w:vMerge w:val="continue"/>
          </w:tcPr>
          <w:p/>
        </w:tc>
        <w:tc>
          <w:tcPr>
            <w:tcW w:w="3912" w:type="dxa"/>
          </w:tcPr>
          <w:p>
            <w:pPr>
              <w:pStyle w:val="0"/>
            </w:pPr>
            <w:r>
              <w:rPr>
                <w:sz w:val="20"/>
              </w:rPr>
              <w:t xml:space="preserve">Нереалистичен, не обеспечен ресурсами - 0 баллов</w:t>
            </w:r>
          </w:p>
        </w:tc>
      </w:tr>
      <w:tr>
        <w:tc>
          <w:tcPr>
            <w:tcW w:w="624" w:type="dxa"/>
            <w:vMerge w:val="restart"/>
          </w:tcPr>
          <w:p>
            <w:pPr>
              <w:pStyle w:val="0"/>
              <w:jc w:val="center"/>
            </w:pPr>
            <w:r>
              <w:rPr>
                <w:sz w:val="20"/>
              </w:rPr>
              <w:t xml:space="preserve">2</w:t>
            </w:r>
          </w:p>
        </w:tc>
        <w:tc>
          <w:tcPr>
            <w:tcW w:w="4535" w:type="dxa"/>
            <w:vMerge w:val="restart"/>
          </w:tcPr>
          <w:p>
            <w:pPr>
              <w:pStyle w:val="0"/>
            </w:pPr>
            <w:r>
              <w:rPr>
                <w:sz w:val="20"/>
              </w:rPr>
              <w:t xml:space="preserve">Наличие у получателя субсидии информационного ресурса о его деятельности и периодичность его обновления</w:t>
            </w:r>
          </w:p>
        </w:tc>
        <w:tc>
          <w:tcPr>
            <w:tcW w:w="3912" w:type="dxa"/>
          </w:tcPr>
          <w:p>
            <w:pPr>
              <w:pStyle w:val="0"/>
            </w:pPr>
            <w:r>
              <w:rPr>
                <w:sz w:val="20"/>
              </w:rPr>
              <w:t xml:space="preserve">Обновляется ежемесячно - 5 баллов</w:t>
            </w:r>
          </w:p>
        </w:tc>
      </w:tr>
      <w:tr>
        <w:tc>
          <w:tcPr>
            <w:vMerge w:val="continue"/>
          </w:tcPr>
          <w:p/>
        </w:tc>
        <w:tc>
          <w:tcPr>
            <w:vMerge w:val="continue"/>
          </w:tcPr>
          <w:p/>
        </w:tc>
        <w:tc>
          <w:tcPr>
            <w:tcW w:w="3912" w:type="dxa"/>
          </w:tcPr>
          <w:p>
            <w:pPr>
              <w:pStyle w:val="0"/>
            </w:pPr>
            <w:r>
              <w:rPr>
                <w:sz w:val="20"/>
              </w:rPr>
              <w:t xml:space="preserve">Обновляется ежеквартально - 3 балла</w:t>
            </w:r>
          </w:p>
        </w:tc>
      </w:tr>
      <w:tr>
        <w:tc>
          <w:tcPr>
            <w:vMerge w:val="continue"/>
          </w:tcPr>
          <w:p/>
        </w:tc>
        <w:tc>
          <w:tcPr>
            <w:vMerge w:val="continue"/>
          </w:tcPr>
          <w:p/>
        </w:tc>
        <w:tc>
          <w:tcPr>
            <w:tcW w:w="3912" w:type="dxa"/>
          </w:tcPr>
          <w:p>
            <w:pPr>
              <w:pStyle w:val="0"/>
            </w:pPr>
            <w:r>
              <w:rPr>
                <w:sz w:val="20"/>
              </w:rPr>
              <w:t xml:space="preserve">Не обновляется или отсутствует - 0 баллов</w:t>
            </w:r>
          </w:p>
        </w:tc>
      </w:tr>
      <w:tr>
        <w:tc>
          <w:tcPr>
            <w:tcW w:w="624" w:type="dxa"/>
            <w:vMerge w:val="restart"/>
          </w:tcPr>
          <w:p>
            <w:pPr>
              <w:pStyle w:val="0"/>
              <w:jc w:val="center"/>
            </w:pPr>
            <w:r>
              <w:rPr>
                <w:sz w:val="20"/>
              </w:rPr>
              <w:t xml:space="preserve">3</w:t>
            </w:r>
          </w:p>
        </w:tc>
        <w:tc>
          <w:tcPr>
            <w:tcW w:w="4535" w:type="dxa"/>
            <w:vMerge w:val="restart"/>
          </w:tcPr>
          <w:p>
            <w:pPr>
              <w:pStyle w:val="0"/>
            </w:pPr>
            <w:r>
              <w:rPr>
                <w:sz w:val="20"/>
              </w:rPr>
              <w:t xml:space="preserve">Наличие у получателя субсидии необходимых для целей предоставления субсидии материально-технических и кадровых ресурсов</w:t>
            </w:r>
          </w:p>
        </w:tc>
        <w:tc>
          <w:tcPr>
            <w:tcW w:w="3912" w:type="dxa"/>
          </w:tcPr>
          <w:p>
            <w:pPr>
              <w:pStyle w:val="0"/>
            </w:pPr>
            <w:r>
              <w:rPr>
                <w:sz w:val="20"/>
              </w:rPr>
              <w:t xml:space="preserve">Количество работников, задействованных в проекте (без внешних совместителей):</w:t>
            </w:r>
          </w:p>
          <w:p>
            <w:pPr>
              <w:pStyle w:val="0"/>
            </w:pPr>
            <w:r>
              <w:rPr>
                <w:sz w:val="20"/>
              </w:rPr>
              <w:t xml:space="preserve">от 3 до 5 работников - 2 балла;</w:t>
            </w:r>
          </w:p>
          <w:p>
            <w:pPr>
              <w:pStyle w:val="0"/>
            </w:pPr>
            <w:r>
              <w:rPr>
                <w:sz w:val="20"/>
              </w:rPr>
              <w:t xml:space="preserve">от 1 до 2 работников - 1 балл;</w:t>
            </w:r>
          </w:p>
          <w:p>
            <w:pPr>
              <w:pStyle w:val="0"/>
            </w:pPr>
            <w:r>
              <w:rPr>
                <w:sz w:val="20"/>
              </w:rPr>
              <w:t xml:space="preserve">отсутствуют работники - 0 баллов</w:t>
            </w:r>
          </w:p>
        </w:tc>
      </w:tr>
      <w:tr>
        <w:tc>
          <w:tcPr>
            <w:vMerge w:val="continue"/>
          </w:tcPr>
          <w:p/>
        </w:tc>
        <w:tc>
          <w:tcPr>
            <w:vMerge w:val="continue"/>
          </w:tcPr>
          <w:p/>
        </w:tc>
        <w:tc>
          <w:tcPr>
            <w:tcW w:w="3912" w:type="dxa"/>
          </w:tcPr>
          <w:p>
            <w:pPr>
              <w:pStyle w:val="0"/>
            </w:pPr>
            <w:r>
              <w:rPr>
                <w:sz w:val="20"/>
              </w:rPr>
              <w:t xml:space="preserve">Наличие оборудования:</w:t>
            </w:r>
          </w:p>
          <w:p>
            <w:pPr>
              <w:pStyle w:val="0"/>
            </w:pPr>
            <w:r>
              <w:rPr>
                <w:sz w:val="20"/>
              </w:rPr>
              <w:t xml:space="preserve">имеется техническое оснащение - 3 балла;</w:t>
            </w:r>
          </w:p>
          <w:p>
            <w:pPr>
              <w:pStyle w:val="0"/>
            </w:pPr>
            <w:r>
              <w:rPr>
                <w:sz w:val="20"/>
              </w:rPr>
              <w:t xml:space="preserve">отсутствует техническое оснащение - 0 баллов</w:t>
            </w:r>
          </w:p>
        </w:tc>
      </w:tr>
    </w:tbl>
    <w:p>
      <w:pPr>
        <w:pStyle w:val="0"/>
        <w:ind w:firstLine="540"/>
        <w:jc w:val="both"/>
      </w:pPr>
      <w:r>
        <w:rPr>
          <w:sz w:val="20"/>
        </w:rPr>
      </w:r>
    </w:p>
    <w:bookmarkStart w:id="1638" w:name="P1638"/>
    <w:bookmarkEnd w:id="1638"/>
    <w:p>
      <w:pPr>
        <w:pStyle w:val="0"/>
        <w:ind w:firstLine="540"/>
        <w:jc w:val="both"/>
      </w:pPr>
      <w:r>
        <w:rPr>
          <w:sz w:val="20"/>
        </w:rPr>
        <w:t xml:space="preserve">2.11. Основаниями для отклонения заявки участника конкурсного отбора на стадии рассмотрения и оценки заявок являются:</w:t>
      </w:r>
    </w:p>
    <w:p>
      <w:pPr>
        <w:pStyle w:val="0"/>
        <w:spacing w:before="200" w:line-rule="auto"/>
        <w:ind w:firstLine="540"/>
        <w:jc w:val="both"/>
      </w:pPr>
      <w:r>
        <w:rPr>
          <w:sz w:val="20"/>
        </w:rPr>
        <w:t xml:space="preserve">а) несоответствие участника конкурсного отбора условиям и требованиям </w:t>
      </w:r>
      <w:hyperlink w:history="0" w:anchor="P1492" w:tooltip="2.1. Субсидии предоставляются при соблюдении следующих условий:">
        <w:r>
          <w:rPr>
            <w:sz w:val="20"/>
            <w:color w:val="0000ff"/>
          </w:rPr>
          <w:t xml:space="preserve">пункта 2.1</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участником конкурсного отбора документов требованиям, установленным </w:t>
      </w:r>
      <w:hyperlink w:history="0" w:anchor="P1535"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конкурсного отбора заявки после даты и(или) времени, определенных в соответствии с </w:t>
      </w:r>
      <w:hyperlink w:history="0" w:anchor="P1519" w:tooltip="2.4.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quot;Интернет&quot;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Объявление о проведении конкурсного отбора содержит следующую информацию:">
        <w:r>
          <w:rPr>
            <w:sz w:val="20"/>
            <w:color w:val="0000ff"/>
          </w:rPr>
          <w:t xml:space="preserve">пунктом 2.4</w:t>
        </w:r>
      </w:hyperlink>
      <w:r>
        <w:rPr>
          <w:sz w:val="20"/>
        </w:rPr>
        <w:t xml:space="preserve"> настоящего Порядка.</w:t>
      </w:r>
    </w:p>
    <w:bookmarkStart w:id="1643" w:name="P1643"/>
    <w:bookmarkEnd w:id="1643"/>
    <w:p>
      <w:pPr>
        <w:pStyle w:val="0"/>
        <w:spacing w:before="200" w:line-rule="auto"/>
        <w:ind w:firstLine="540"/>
        <w:jc w:val="both"/>
      </w:pPr>
      <w:r>
        <w:rPr>
          <w:sz w:val="20"/>
        </w:rPr>
        <w:t xml:space="preserve">2.12.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требованиям, указанным в </w:t>
      </w:r>
      <w:hyperlink w:history="0" w:anchor="P1494" w:tooltip="2) соответствие участника конкурсного отбора на дату подачи заявки следующим требованиям:">
        <w:r>
          <w:rPr>
            <w:sz w:val="20"/>
            <w:color w:val="0000ff"/>
          </w:rPr>
          <w:t xml:space="preserve">подпункте 2 пункта 2.1</w:t>
        </w:r>
      </w:hyperlink>
      <w:r>
        <w:rPr>
          <w:sz w:val="20"/>
        </w:rPr>
        <w:t xml:space="preserve"> настоящего Порядка;</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заявке (проекту) по результатам оценки комиссией присвоено 50 и менее баллов.</w:t>
      </w:r>
    </w:p>
    <w:p>
      <w:pPr>
        <w:pStyle w:val="0"/>
        <w:spacing w:before="200" w:line-rule="auto"/>
        <w:ind w:firstLine="540"/>
        <w:jc w:val="both"/>
      </w:pPr>
      <w:r>
        <w:rPr>
          <w:sz w:val="20"/>
        </w:rPr>
        <w:t xml:space="preserve">2.13. Победителем (победителями) конкурсного отбора признается (признаются) участник (участники), набравший (набравшие) в сумме наибольшее количество баллов, и далее в порядке убывания баллов.</w:t>
      </w:r>
    </w:p>
    <w:p>
      <w:pPr>
        <w:pStyle w:val="0"/>
        <w:spacing w:before="200" w:line-rule="auto"/>
        <w:ind w:firstLine="540"/>
        <w:jc w:val="both"/>
      </w:pPr>
      <w:r>
        <w:rPr>
          <w:sz w:val="20"/>
        </w:rPr>
        <w:t xml:space="preserve">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pPr>
        <w:pStyle w:val="0"/>
        <w:spacing w:before="200" w:line-rule="auto"/>
        <w:ind w:firstLine="540"/>
        <w:jc w:val="both"/>
      </w:pPr>
      <w:r>
        <w:rPr>
          <w:sz w:val="20"/>
        </w:rPr>
        <w:t xml:space="preserve">2.14.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 даты его подписания.</w:t>
      </w:r>
    </w:p>
    <w:p>
      <w:pPr>
        <w:pStyle w:val="0"/>
        <w:spacing w:before="200" w:line-rule="auto"/>
        <w:ind w:firstLine="540"/>
        <w:jc w:val="both"/>
      </w:pPr>
      <w:r>
        <w:rPr>
          <w:sz w:val="20"/>
        </w:rPr>
        <w:t xml:space="preserve">2.15.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pPr>
        <w:pStyle w:val="0"/>
        <w:spacing w:before="200" w:line-rule="auto"/>
        <w:ind w:firstLine="540"/>
        <w:jc w:val="both"/>
      </w:pPr>
      <w:r>
        <w:rPr>
          <w:sz w:val="20"/>
        </w:rPr>
        <w:t xml:space="preserve">Комитет в срок не позднее трех рабочих дней с даты издания распоряжения размещает на едином портале (при наличии технической возможности) и на официальном сайте комитета в информационно-телекоммуникационной сети "Интернет" информацию о результатах конкурсного отбора, включающую:</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дату, время и место оценки заявок участников конкурсного отбора;</w:t>
      </w:r>
    </w:p>
    <w:p>
      <w:pPr>
        <w:pStyle w:val="0"/>
        <w:spacing w:before="200" w:line-rule="auto"/>
        <w:ind w:firstLine="540"/>
        <w:jc w:val="both"/>
      </w:pPr>
      <w:r>
        <w:rPr>
          <w:sz w:val="20"/>
        </w:rPr>
        <w:t xml:space="preserve">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2.16.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w:t>
      </w:r>
    </w:p>
    <w:p>
      <w:pPr>
        <w:pStyle w:val="0"/>
        <w:spacing w:before="200" w:line-rule="auto"/>
        <w:ind w:firstLine="540"/>
        <w:jc w:val="both"/>
      </w:pPr>
      <w:r>
        <w:rPr>
          <w:sz w:val="20"/>
        </w:rPr>
        <w:t xml:space="preserve">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pPr>
        <w:pStyle w:val="0"/>
        <w:spacing w:before="200" w:line-rule="auto"/>
        <w:ind w:firstLine="540"/>
        <w:jc w:val="both"/>
      </w:pPr>
      <w:r>
        <w:rPr>
          <w:sz w:val="20"/>
        </w:rPr>
        <w:t xml:space="preserve">2.17. Размер субсидии рассчитывается по следующей формуле:</w:t>
      </w:r>
    </w:p>
    <w:p>
      <w:pPr>
        <w:pStyle w:val="0"/>
      </w:pPr>
      <w:r>
        <w:rPr>
          <w:sz w:val="20"/>
        </w:rPr>
      </w:r>
    </w:p>
    <w:p>
      <w:pPr>
        <w:pStyle w:val="0"/>
        <w:jc w:val="center"/>
      </w:pPr>
      <w:r>
        <w:rPr>
          <w:sz w:val="20"/>
        </w:rPr>
        <w:t xml:space="preserve">Рсуб. = С x Б /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Рсуб. - размер субсидии, предоставляемой победителю конкурсного отбора;</w:t>
      </w:r>
    </w:p>
    <w:p>
      <w:pPr>
        <w:pStyle w:val="0"/>
        <w:spacing w:before="200" w:line-rule="auto"/>
        <w:ind w:firstLine="540"/>
        <w:jc w:val="both"/>
      </w:pPr>
      <w:r>
        <w:rPr>
          <w:sz w:val="20"/>
        </w:rPr>
        <w:t xml:space="preserve">С - стоимость заявки (проекта), заявленная победителем конкурсного отбора, за счет средств областного бюджета Ленинградской области;</w:t>
      </w:r>
    </w:p>
    <w:p>
      <w:pPr>
        <w:pStyle w:val="0"/>
        <w:spacing w:before="200" w:line-rule="auto"/>
        <w:ind w:firstLine="540"/>
        <w:jc w:val="both"/>
      </w:pPr>
      <w:r>
        <w:rPr>
          <w:sz w:val="20"/>
        </w:rPr>
        <w:t xml:space="preserve">Б - среднее значение суммарного результата оценки проекта (балл);</w:t>
      </w:r>
    </w:p>
    <w:p>
      <w:pPr>
        <w:pStyle w:val="0"/>
        <w:spacing w:before="200" w:line-rule="auto"/>
        <w:ind w:firstLine="540"/>
        <w:jc w:val="both"/>
      </w:pPr>
      <w:r>
        <w:rPr>
          <w:sz w:val="20"/>
        </w:rPr>
        <w:t xml:space="preserve">100 - максимальное количество оценочных баллов.</w:t>
      </w:r>
    </w:p>
    <w:p>
      <w:pPr>
        <w:pStyle w:val="0"/>
        <w:ind w:firstLine="540"/>
        <w:jc w:val="both"/>
      </w:pPr>
      <w:r>
        <w:rPr>
          <w:sz w:val="20"/>
        </w:rPr>
      </w:r>
    </w:p>
    <w:p>
      <w:pPr>
        <w:pStyle w:val="0"/>
        <w:ind w:firstLine="540"/>
        <w:jc w:val="both"/>
      </w:pPr>
      <w:r>
        <w:rPr>
          <w:sz w:val="20"/>
        </w:rPr>
        <w:t xml:space="preserve">2.18. Соглашение заключается комитетом не позднее 10 рабочих дней с даты издания распоряжения комитета. В случае отказа получателя субсидии от заключения соглашения, наличия нераспределенного остатка средств и(или) увеличения бюджетных ассигнований комитет проводит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pPr>
        <w:pStyle w:val="0"/>
        <w:jc w:val="both"/>
      </w:pPr>
      <w:r>
        <w:rPr>
          <w:sz w:val="20"/>
        </w:rPr>
        <w:t xml:space="preserve">(п. 2.18 в ред. </w:t>
      </w:r>
      <w:hyperlink w:history="0" r:id="rId101"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27.03.2023 N 197)</w:t>
      </w:r>
    </w:p>
    <w:p>
      <w:pPr>
        <w:pStyle w:val="0"/>
        <w:spacing w:before="200" w:line-rule="auto"/>
        <w:ind w:firstLine="540"/>
        <w:jc w:val="both"/>
      </w:pPr>
      <w:r>
        <w:rPr>
          <w:sz w:val="20"/>
        </w:rPr>
        <w:t xml:space="preserve">2.19.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history="0" w:anchor="P1468" w:tooltip="1.3. Субсидии предоставляются в целях увеличения занятости и доходности в туристской сфере при реализации проектов, направленных на формирование комфортной туристской среды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bookmarkStart w:id="1673" w:name="P1673"/>
    <w:bookmarkEnd w:id="1673"/>
    <w:p>
      <w:pPr>
        <w:pStyle w:val="0"/>
        <w:spacing w:before="200" w:line-rule="auto"/>
        <w:ind w:firstLine="540"/>
        <w:jc w:val="both"/>
      </w:pPr>
      <w:r>
        <w:rPr>
          <w:sz w:val="20"/>
        </w:rPr>
        <w:t xml:space="preserve">2.20. Планируемым результатом предоставления субсидии являются реализованные проекты, направленные на формирование комфортной туристской среды на территории Ленинградской области.</w:t>
      </w:r>
    </w:p>
    <w:p>
      <w:pPr>
        <w:pStyle w:val="0"/>
        <w:jc w:val="both"/>
      </w:pPr>
      <w:r>
        <w:rPr>
          <w:sz w:val="20"/>
        </w:rPr>
        <w:t xml:space="preserve">(п. 2.20 в ред. </w:t>
      </w:r>
      <w:hyperlink w:history="0" r:id="rId102"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bookmarkStart w:id="1675" w:name="P1675"/>
    <w:bookmarkEnd w:id="1675"/>
    <w:p>
      <w:pPr>
        <w:pStyle w:val="0"/>
        <w:spacing w:before="200" w:line-rule="auto"/>
        <w:ind w:firstLine="540"/>
        <w:jc w:val="both"/>
      </w:pPr>
      <w:r>
        <w:rPr>
          <w:sz w:val="20"/>
        </w:rPr>
        <w:t xml:space="preserve">2.21. Показателем, необходимым для достижения результата предоставления субсидии, является количество реализованных проектов.</w:t>
      </w:r>
    </w:p>
    <w:p>
      <w:pPr>
        <w:pStyle w:val="0"/>
        <w:spacing w:before="200" w:line-rule="auto"/>
        <w:ind w:firstLine="540"/>
        <w:jc w:val="both"/>
      </w:pPr>
      <w:r>
        <w:rPr>
          <w:sz w:val="20"/>
        </w:rPr>
        <w:t xml:space="preserve">Значение показателя устанавливается комитетом в соглашении.</w:t>
      </w:r>
    </w:p>
    <w:p>
      <w:pPr>
        <w:pStyle w:val="0"/>
        <w:spacing w:before="200" w:line-rule="auto"/>
        <w:ind w:firstLine="540"/>
        <w:jc w:val="both"/>
      </w:pPr>
      <w:r>
        <w:rPr>
          <w:sz w:val="20"/>
        </w:rPr>
        <w:t xml:space="preserve">2.22. Формирование заявки на перечисление субсидий осуществляется комитетом в течение 10 рабочих дней, следующих за датой заключения соглашения.</w:t>
      </w:r>
    </w:p>
    <w:p>
      <w:pPr>
        <w:pStyle w:val="0"/>
        <w:spacing w:before="200" w:line-rule="auto"/>
        <w:ind w:firstLine="540"/>
        <w:jc w:val="both"/>
      </w:pPr>
      <w:r>
        <w:rPr>
          <w:sz w:val="20"/>
        </w:rPr>
        <w:t xml:space="preserve">2.23. Перечисление субсидий осуществляется Комитетом финансов Ленинградской области на основании распорядительных заявок на расход, сформированных комитетом, на расчетный счет, открытый получателям субсидий в учреждениях Центрального банка Российской Федерации или кредитных организациях, в течение трех рабочих дней с даты получения распорядительной заявки на расход.</w:t>
      </w:r>
    </w:p>
    <w:p>
      <w:pPr>
        <w:pStyle w:val="0"/>
        <w:jc w:val="center"/>
      </w:pPr>
      <w:r>
        <w:rPr>
          <w:sz w:val="20"/>
        </w:rPr>
      </w:r>
    </w:p>
    <w:p>
      <w:pPr>
        <w:pStyle w:val="2"/>
        <w:outlineLvl w:val="2"/>
        <w:jc w:val="center"/>
      </w:pPr>
      <w:r>
        <w:rPr>
          <w:sz w:val="20"/>
        </w:rPr>
        <w:t xml:space="preserve">3. Требования к отчетности</w:t>
      </w:r>
    </w:p>
    <w:p>
      <w:pPr>
        <w:pStyle w:val="0"/>
        <w:jc w:val="center"/>
      </w:pPr>
      <w:r>
        <w:rPr>
          <w:sz w:val="20"/>
        </w:rPr>
      </w:r>
    </w:p>
    <w:p>
      <w:pPr>
        <w:pStyle w:val="0"/>
        <w:ind w:firstLine="540"/>
        <w:jc w:val="both"/>
      </w:pPr>
      <w:r>
        <w:rPr>
          <w:sz w:val="20"/>
        </w:rPr>
        <w:t xml:space="preserve">3.1.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history="0" w:anchor="P1673" w:tooltip="2.20. Планируемым результатом предоставления субсидии являются реализованные проекты, направленные на формирование комфортной туристской среды на территории Ленинградской области.">
        <w:r>
          <w:rPr>
            <w:sz w:val="20"/>
            <w:color w:val="0000ff"/>
          </w:rPr>
          <w:t xml:space="preserve">пунктами 2.20</w:t>
        </w:r>
      </w:hyperlink>
      <w:r>
        <w:rPr>
          <w:sz w:val="20"/>
        </w:rPr>
        <w:t xml:space="preserve"> и </w:t>
      </w:r>
      <w:hyperlink w:history="0" w:anchor="P1675" w:tooltip="2.21. Показателем, необходимым для достижения результата предоставления субсидии, является количество реализованных проектов.">
        <w:r>
          <w:rPr>
            <w:sz w:val="20"/>
            <w:color w:val="0000ff"/>
          </w:rPr>
          <w:t xml:space="preserve">2.21</w:t>
        </w:r>
      </w:hyperlink>
      <w:r>
        <w:rPr>
          <w:sz w:val="20"/>
        </w:rP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
    <w:p>
      <w:pPr>
        <w:pStyle w:val="0"/>
        <w:spacing w:before="200" w:line-rule="auto"/>
        <w:ind w:firstLine="540"/>
        <w:jc w:val="both"/>
      </w:pPr>
      <w:r>
        <w:rPr>
          <w:sz w:val="20"/>
        </w:rPr>
        <w:t xml:space="preserve">3.2. Сроки предоставления и формы дополнительной отчетности устанавливаются в соглашении.</w:t>
      </w:r>
    </w:p>
    <w:p>
      <w:pPr>
        <w:pStyle w:val="0"/>
        <w:jc w:val="center"/>
      </w:pPr>
      <w:r>
        <w:rPr>
          <w:sz w:val="20"/>
        </w:rPr>
      </w:r>
    </w:p>
    <w:p>
      <w:pPr>
        <w:pStyle w:val="2"/>
        <w:outlineLvl w:val="2"/>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103"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30.12.2022 N 1013)</w:t>
      </w:r>
    </w:p>
    <w:p>
      <w:pPr>
        <w:pStyle w:val="0"/>
        <w:jc w:val="center"/>
      </w:pPr>
      <w:r>
        <w:rPr>
          <w:sz w:val="20"/>
        </w:rPr>
      </w:r>
    </w:p>
    <w:p>
      <w:pPr>
        <w:pStyle w:val="0"/>
        <w:ind w:firstLine="540"/>
        <w:jc w:val="both"/>
      </w:pPr>
      <w:r>
        <w:rPr>
          <w:sz w:val="20"/>
        </w:rPr>
        <w:t xml:space="preserve">4.1.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органами государственного финансового контроля Ленинградской области осуществляется проверка в соответствии со </w:t>
      </w:r>
      <w:hyperlink w:history="0" r:id="rId10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0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4.1 в ред. </w:t>
      </w:r>
      <w:hyperlink w:history="0" r:id="rId106"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bookmarkStart w:id="1693" w:name="P1693"/>
    <w:bookmarkEnd w:id="1693"/>
    <w:p>
      <w:pPr>
        <w:pStyle w:val="0"/>
        <w:spacing w:before="200" w:line-rule="auto"/>
        <w:ind w:firstLine="540"/>
        <w:jc w:val="both"/>
      </w:pPr>
      <w:r>
        <w:rPr>
          <w:sz w:val="20"/>
        </w:rPr>
        <w:t xml:space="preserve">4.2.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субсидий порядка и условий предоставления субсидий, а также недостижения результата предоставления субсидии и показателей, установленных </w:t>
      </w:r>
      <w:hyperlink w:history="0" w:anchor="P1673" w:tooltip="2.20. Планируемым результатом предоставления субсидии являются реализованные проекты, направленные на формирование комфортной туристской среды на территории Ленинградской области.">
        <w:r>
          <w:rPr>
            <w:sz w:val="20"/>
            <w:color w:val="0000ff"/>
          </w:rPr>
          <w:t xml:space="preserve">пунктами 2.20</w:t>
        </w:r>
      </w:hyperlink>
      <w:r>
        <w:rPr>
          <w:sz w:val="20"/>
        </w:rPr>
        <w:t xml:space="preserve"> и </w:t>
      </w:r>
      <w:hyperlink w:history="0" w:anchor="P1675" w:tooltip="2.21. Показателем, необходимым для достижения результата предоставления субсидии, является количество реализованных проектов.">
        <w:r>
          <w:rPr>
            <w:sz w:val="20"/>
            <w:color w:val="0000ff"/>
          </w:rPr>
          <w:t xml:space="preserve">2.21</w:t>
        </w:r>
      </w:hyperlink>
      <w:r>
        <w:rPr>
          <w:sz w:val="20"/>
        </w:rPr>
        <w:t xml:space="preserve"> настоящего Порядка, соответствующие средства субсидии подлежат возврату в доход областного бюджета Ленинградской области:</w:t>
      </w:r>
    </w:p>
    <w:p>
      <w:pPr>
        <w:pStyle w:val="0"/>
        <w:spacing w:before="200" w:line-rule="auto"/>
        <w:ind w:firstLine="540"/>
        <w:jc w:val="both"/>
      </w:pPr>
      <w:r>
        <w:rPr>
          <w:sz w:val="20"/>
        </w:rPr>
        <w:t xml:space="preserve">а) на основании письменного требования комитета - в течение 10 рабочих дней с даты получения получателем субсидии указанного требования;</w:t>
      </w:r>
    </w:p>
    <w:p>
      <w:pPr>
        <w:pStyle w:val="0"/>
        <w:spacing w:before="200" w:line-rule="auto"/>
        <w:ind w:firstLine="540"/>
        <w:jc w:val="both"/>
      </w:pPr>
      <w:r>
        <w:rPr>
          <w:sz w:val="20"/>
        </w:rPr>
        <w:t xml:space="preserve">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pPr>
        <w:pStyle w:val="0"/>
        <w:jc w:val="both"/>
      </w:pPr>
      <w:r>
        <w:rPr>
          <w:sz w:val="20"/>
        </w:rPr>
        <w:t xml:space="preserve">(п. 4.2 в ред. </w:t>
      </w:r>
      <w:hyperlink w:history="0" r:id="rId107"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4.3. В случае неперечисления получателем субсидии средств субсидии в областной бюджет в сроки, установленные </w:t>
      </w:r>
      <w:hyperlink w:history="0" w:anchor="P1693" w:tooltip="4.2.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й порядка и условий предоставления субсидий, а также недостижения результата предоставления субсидии и показателей, установленных пунктами 2.20 и 2.21 настоящего Порядка, соответствующие средства субсидии подлежат возврату в доход областного бюджета Ленинградской области:">
        <w:r>
          <w:rPr>
            <w:sz w:val="20"/>
            <w:color w:val="0000ff"/>
          </w:rPr>
          <w:t xml:space="preserve">пунктом 4.2</w:t>
        </w:r>
      </w:hyperlink>
      <w:r>
        <w:rPr>
          <w:sz w:val="20"/>
        </w:rPr>
        <w:t xml:space="preserve"> настоящего Порядка, взыскание денежных средств осуществляется в судебном порядке.</w:t>
      </w:r>
    </w:p>
    <w:p>
      <w:pPr>
        <w:pStyle w:val="0"/>
        <w:spacing w:before="200" w:line-rule="auto"/>
        <w:ind w:firstLine="540"/>
        <w:jc w:val="both"/>
      </w:pPr>
      <w:r>
        <w:rPr>
          <w:sz w:val="20"/>
        </w:rPr>
        <w:t xml:space="preserve">4.4. Субсидии, не использованные в текущем финансовом году, подлежат возврату в областной бюджет Ленинградской области.</w:t>
      </w:r>
    </w:p>
    <w:p>
      <w:pPr>
        <w:pStyle w:val="0"/>
        <w:spacing w:before="200" w:line-rule="auto"/>
        <w:ind w:firstLine="540"/>
        <w:jc w:val="both"/>
      </w:pPr>
      <w:r>
        <w:rPr>
          <w:sz w:val="20"/>
        </w:rPr>
        <w:t xml:space="preserve">4.5.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jc w:val="both"/>
      </w:pPr>
      <w:r>
        <w:rPr>
          <w:sz w:val="20"/>
        </w:rPr>
        <w:t xml:space="preserve">(п. 4.5 введен </w:t>
      </w:r>
      <w:hyperlink w:history="0" r:id="rId108"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30.12.2022 N 1013)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ind w:firstLine="540"/>
        <w:jc w:val="both"/>
      </w:pPr>
      <w:r>
        <w:rPr>
          <w:sz w:val="20"/>
        </w:rPr>
      </w:r>
    </w:p>
    <w:bookmarkStart w:id="1709" w:name="P1709"/>
    <w:bookmarkEnd w:id="1709"/>
    <w:p>
      <w:pPr>
        <w:pStyle w:val="2"/>
        <w:jc w:val="center"/>
      </w:pPr>
      <w:r>
        <w:rPr>
          <w:sz w:val="20"/>
        </w:rPr>
        <w:t xml:space="preserve">ПОРЯДОК</w:t>
      </w:r>
    </w:p>
    <w:p>
      <w:pPr>
        <w:pStyle w:val="2"/>
        <w:jc w:val="center"/>
      </w:pPr>
      <w:r>
        <w:rPr>
          <w:sz w:val="20"/>
        </w:rPr>
        <w:t xml:space="preserve">ОПРЕДЕЛЕНИЯ ОБЪЕМА И ПРЕДОСТАВЛЕНИЯ ИЗ ОБЛАСТНОГО БЮДЖЕТА</w:t>
      </w:r>
    </w:p>
    <w:p>
      <w:pPr>
        <w:pStyle w:val="2"/>
        <w:jc w:val="center"/>
      </w:pPr>
      <w:r>
        <w:rPr>
          <w:sz w:val="20"/>
        </w:rPr>
        <w:t xml:space="preserve">ЛЕНИНГРАДСКОЙ ОБЛАСТИ СУБСИДИЙ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РЕАЛИЗАЦИЮ ПРОЕКТА ТУРИСТСКО-ЭКСКУРСИОННЫХ</w:t>
      </w:r>
    </w:p>
    <w:p>
      <w:pPr>
        <w:pStyle w:val="2"/>
        <w:jc w:val="center"/>
      </w:pPr>
      <w:r>
        <w:rPr>
          <w:sz w:val="20"/>
        </w:rPr>
        <w:t xml:space="preserve">ПОЕЗДОК ДЛЯ ШКОЛЬНИКОВ И УЧАЩИХСЯ ЛЕНИНГРАДСКОЙ ОБЛАСТИ</w:t>
      </w:r>
    </w:p>
    <w:p>
      <w:pPr>
        <w:pStyle w:val="2"/>
        <w:jc w:val="center"/>
      </w:pPr>
      <w:r>
        <w:rPr>
          <w:sz w:val="20"/>
        </w:rPr>
        <w:t xml:space="preserve">"МОЙ РОДНОЙ КРАЙ - ЛЕНИНГРАДСКАЯ ОБЛАСТЬ"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30.12.2022 </w:t>
            </w:r>
            <w:hyperlink w:history="0" r:id="rId109"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1013</w:t>
              </w:r>
            </w:hyperlink>
            <w:r>
              <w:rPr>
                <w:sz w:val="20"/>
                <w:color w:val="392c69"/>
              </w:rPr>
              <w:t xml:space="preserve">, от 27.03.2023 </w:t>
            </w:r>
            <w:hyperlink w:history="0" r:id="rId110"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N 197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рамках структурного элемента "Комплекс процессных мероприятий "Развитие туристского потенциала Ленинградской области" государственной программы Ленинградской области "Развитие внутреннего и въездного туризма в Ленинградской области" (далее - субсидии, получатели субсидий).</w:t>
      </w:r>
    </w:p>
    <w:p>
      <w:pPr>
        <w:pStyle w:val="0"/>
        <w:spacing w:before="200" w:line-rule="auto"/>
        <w:ind w:firstLine="540"/>
        <w:jc w:val="both"/>
      </w:pPr>
      <w:r>
        <w:rPr>
          <w:sz w:val="20"/>
        </w:rPr>
        <w:t xml:space="preserve">1.2. В настоящем Порядке применяются следующие основные понятия:</w:t>
      </w:r>
    </w:p>
    <w:p>
      <w:pPr>
        <w:pStyle w:val="0"/>
        <w:spacing w:before="200" w:line-rule="auto"/>
        <w:ind w:firstLine="540"/>
        <w:jc w:val="both"/>
      </w:pPr>
      <w:r>
        <w:rPr>
          <w:sz w:val="20"/>
        </w:rPr>
        <w:t xml:space="preserve">главный распорядитель бюджетных средств - комитет по культуре и туризму Ленинградской области (далее - комитет);</w:t>
      </w:r>
    </w:p>
    <w:p>
      <w:pPr>
        <w:pStyle w:val="0"/>
        <w:spacing w:before="200" w:line-rule="auto"/>
        <w:ind w:firstLine="540"/>
        <w:jc w:val="both"/>
      </w:pPr>
      <w:r>
        <w:rPr>
          <w:sz w:val="20"/>
        </w:rPr>
        <w:t xml:space="preserve">комиссия - коллегиальный орган, образованный для проведения конкурсного отбора, формируемый комитетом из представителей органов государственной власти Ленинградской области, органов местного самоуправления Ленинградской области, учреждений, организаций в сфере туризма Ленинградской области. В состав комиссии в том числе включаются члены общественных советов при органах исполнительной власти Ленинградской области.</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bookmarkStart w:id="1727" w:name="P1727"/>
    <w:bookmarkEnd w:id="1727"/>
    <w:p>
      <w:pPr>
        <w:pStyle w:val="0"/>
        <w:spacing w:before="200" w:line-rule="auto"/>
        <w:ind w:firstLine="540"/>
        <w:jc w:val="both"/>
      </w:pPr>
      <w:r>
        <w:rPr>
          <w:sz w:val="20"/>
        </w:rPr>
        <w:t xml:space="preserve">1.3. Субсидия предоставляется в целях повышения привлекательности и развития туристического потенциала Ленинградской области.</w:t>
      </w:r>
    </w:p>
    <w:p>
      <w:pPr>
        <w:pStyle w:val="0"/>
        <w:spacing w:before="200" w:line-rule="auto"/>
        <w:ind w:firstLine="540"/>
        <w:jc w:val="both"/>
      </w:pPr>
      <w:r>
        <w:rPr>
          <w:sz w:val="20"/>
        </w:rPr>
        <w:t xml:space="preserve">Субсидия предоставляется на организацию и проведение туристско-экскурсионных поездок для школьников и учащихся Ленинградской области в рамках проекта "Мой родной край - Ленинградская область" (далее - проект).</w:t>
      </w:r>
    </w:p>
    <w:p>
      <w:pPr>
        <w:pStyle w:val="0"/>
        <w:spacing w:before="200" w:line-rule="auto"/>
        <w:ind w:firstLine="540"/>
        <w:jc w:val="both"/>
      </w:pPr>
      <w:r>
        <w:rPr>
          <w:sz w:val="20"/>
        </w:rPr>
        <w:t xml:space="preserve">1.4.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history="0" w:anchor="P1727" w:tooltip="1.3. Субсидия предоставляется в целях повышения привлекательности и развития туристического потенциала Ленинградской области.">
        <w:r>
          <w:rPr>
            <w:sz w:val="20"/>
            <w:color w:val="0000ff"/>
          </w:rPr>
          <w:t xml:space="preserve">пункте 1.3</w:t>
        </w:r>
      </w:hyperlink>
      <w:r>
        <w:rPr>
          <w:sz w:val="20"/>
        </w:rPr>
        <w:t xml:space="preserve"> настоящего Порядка.</w:t>
      </w:r>
    </w:p>
    <w:bookmarkStart w:id="1730" w:name="P1730"/>
    <w:bookmarkEnd w:id="1730"/>
    <w:p>
      <w:pPr>
        <w:pStyle w:val="0"/>
        <w:spacing w:before="200" w:line-rule="auto"/>
        <w:ind w:firstLine="540"/>
        <w:jc w:val="both"/>
      </w:pPr>
      <w:r>
        <w:rPr>
          <w:sz w:val="20"/>
        </w:rPr>
        <w:t xml:space="preserve">1.5. Категории получателей субсидий - некоммерческие организации, зарегистрированные на территории Ленинградской области или Санкт-Петербурга в качестве юридических лиц в порядке, установленном законодательством Российской Федерации, состоящие на налоговом учете в территориальном налоговом органе, уставные цели и виды деятельности которых направлены на создание современной, конкурентоспособной туристской индустрии и содействие развитию туристских организаций и рынка туристских услуг (далее - участники конкурсного отбора).</w:t>
      </w:r>
    </w:p>
    <w:bookmarkStart w:id="1731" w:name="P1731"/>
    <w:bookmarkEnd w:id="1731"/>
    <w:p>
      <w:pPr>
        <w:pStyle w:val="0"/>
        <w:spacing w:before="200" w:line-rule="auto"/>
        <w:ind w:firstLine="540"/>
        <w:jc w:val="both"/>
      </w:pPr>
      <w:r>
        <w:rPr>
          <w:sz w:val="20"/>
        </w:rPr>
        <w:t xml:space="preserve">1.6. Критерии отбора получателей субсидий:</w:t>
      </w:r>
    </w:p>
    <w:p>
      <w:pPr>
        <w:pStyle w:val="0"/>
        <w:spacing w:before="200" w:line-rule="auto"/>
        <w:ind w:firstLine="540"/>
        <w:jc w:val="both"/>
      </w:pPr>
      <w:r>
        <w:rPr>
          <w:sz w:val="20"/>
        </w:rPr>
        <w:t xml:space="preserve">а) соответствие мероприятий, проводимых в рамках проекта, законодательству в сфере перевозки детей;</w:t>
      </w:r>
    </w:p>
    <w:p>
      <w:pPr>
        <w:pStyle w:val="0"/>
        <w:spacing w:before="200" w:line-rule="auto"/>
        <w:ind w:firstLine="540"/>
        <w:jc w:val="both"/>
      </w:pPr>
      <w:r>
        <w:rPr>
          <w:sz w:val="20"/>
        </w:rPr>
        <w:t xml:space="preserve">б) охват школьников и учащихся мероприятиями, проводимыми в рамках проекта;</w:t>
      </w:r>
    </w:p>
    <w:p>
      <w:pPr>
        <w:pStyle w:val="0"/>
        <w:spacing w:before="200" w:line-rule="auto"/>
        <w:ind w:firstLine="540"/>
        <w:jc w:val="both"/>
      </w:pPr>
      <w:r>
        <w:rPr>
          <w:sz w:val="20"/>
        </w:rPr>
        <w:t xml:space="preserve">в) количество туристских маршрутов, реализуемых в рамках проекта;</w:t>
      </w:r>
    </w:p>
    <w:p>
      <w:pPr>
        <w:pStyle w:val="0"/>
        <w:spacing w:before="200" w:line-rule="auto"/>
        <w:ind w:firstLine="540"/>
        <w:jc w:val="both"/>
      </w:pPr>
      <w:r>
        <w:rPr>
          <w:sz w:val="20"/>
        </w:rPr>
        <w:t xml:space="preserve">г) охват школьников и учащихся с ограниченными возможностями здоровья мероприятиями, проводимыми в рамках проекта;</w:t>
      </w:r>
    </w:p>
    <w:p>
      <w:pPr>
        <w:pStyle w:val="0"/>
        <w:spacing w:before="200" w:line-rule="auto"/>
        <w:ind w:firstLine="540"/>
        <w:jc w:val="both"/>
      </w:pPr>
      <w:r>
        <w:rPr>
          <w:sz w:val="20"/>
        </w:rPr>
        <w:t xml:space="preserve">д) количество реализованных проектов в сфере детско-юношеского туризма за последние пять лет;</w:t>
      </w:r>
    </w:p>
    <w:p>
      <w:pPr>
        <w:pStyle w:val="0"/>
        <w:spacing w:before="200" w:line-rule="auto"/>
        <w:ind w:firstLine="540"/>
        <w:jc w:val="both"/>
      </w:pPr>
      <w:r>
        <w:rPr>
          <w:sz w:val="20"/>
        </w:rPr>
        <w:t xml:space="preserve">е) количество участников, вовлеченных в реализованные проекты в сфере детско-юношеского туризма;</w:t>
      </w:r>
    </w:p>
    <w:p>
      <w:pPr>
        <w:pStyle w:val="0"/>
        <w:spacing w:before="200" w:line-rule="auto"/>
        <w:ind w:firstLine="540"/>
        <w:jc w:val="both"/>
      </w:pPr>
      <w:r>
        <w:rPr>
          <w:sz w:val="20"/>
        </w:rPr>
        <w:t xml:space="preserve">ж) количество субъектов Российской Федерации, на территории которых реализованы проекты в сфере детско-юношеского туризма.</w:t>
      </w:r>
    </w:p>
    <w:p>
      <w:pPr>
        <w:pStyle w:val="0"/>
        <w:spacing w:before="200" w:line-rule="auto"/>
        <w:ind w:firstLine="540"/>
        <w:jc w:val="both"/>
      </w:pPr>
      <w:r>
        <w:rPr>
          <w:sz w:val="20"/>
        </w:rPr>
        <w:t xml:space="preserve">1.7. Способом отбора получателей субсидии является конкурс (далее - конкурсный отбор).</w:t>
      </w:r>
    </w:p>
    <w:p>
      <w:pPr>
        <w:pStyle w:val="0"/>
        <w:spacing w:before="200" w:line-rule="auto"/>
        <w:ind w:firstLine="540"/>
        <w:jc w:val="both"/>
      </w:pPr>
      <w:r>
        <w:rPr>
          <w:sz w:val="20"/>
        </w:rPr>
        <w:t xml:space="preserve">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pPr>
        <w:pStyle w:val="0"/>
        <w:jc w:val="both"/>
      </w:pPr>
      <w:r>
        <w:rPr>
          <w:sz w:val="20"/>
        </w:rPr>
        <w:t xml:space="preserve">(п. 1.8 в ред. </w:t>
      </w:r>
      <w:hyperlink w:history="0" r:id="rId111"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ind w:firstLine="54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r>
    </w:p>
    <w:bookmarkStart w:id="1745" w:name="P1745"/>
    <w:bookmarkEnd w:id="1745"/>
    <w:p>
      <w:pPr>
        <w:pStyle w:val="0"/>
        <w:ind w:firstLine="540"/>
        <w:jc w:val="both"/>
      </w:pPr>
      <w:r>
        <w:rPr>
          <w:sz w:val="20"/>
        </w:rPr>
        <w:t xml:space="preserve">2.1. Субсидии предоставляются при соблюдении следующих условий:</w:t>
      </w:r>
    </w:p>
    <w:p>
      <w:pPr>
        <w:pStyle w:val="0"/>
        <w:spacing w:before="200" w:line-rule="auto"/>
        <w:ind w:firstLine="540"/>
        <w:jc w:val="both"/>
      </w:pPr>
      <w:r>
        <w:rPr>
          <w:sz w:val="20"/>
        </w:rPr>
        <w:t xml:space="preserve">1) соответствие участника конкурсного отбора категориям, установленным </w:t>
      </w:r>
      <w:hyperlink w:history="0" w:anchor="P1730" w:tooltip="1.5. Категории получателей субсидий - некоммерческие организации, зарегистрированные на территории Ленинградской области или Санкт-Петербурга в качестве юридических лиц в порядке, установленном законодательством Российской Федерации, состоящие на налоговом учете в территориальном налоговом органе, уставные цели и виды деятельности которых направлены на создание современной, конкурентоспособной туристской индустрии и содействие развитию туристских организаций и рынка туристских услуг (далее - участники ко...">
        <w:r>
          <w:rPr>
            <w:sz w:val="20"/>
            <w:color w:val="0000ff"/>
          </w:rPr>
          <w:t xml:space="preserve">пунктом 1.5</w:t>
        </w:r>
      </w:hyperlink>
      <w:r>
        <w:rPr>
          <w:sz w:val="20"/>
        </w:rPr>
        <w:t xml:space="preserve"> настоящего Порядка;</w:t>
      </w:r>
    </w:p>
    <w:bookmarkStart w:id="1747" w:name="P1747"/>
    <w:bookmarkEnd w:id="1747"/>
    <w:p>
      <w:pPr>
        <w:pStyle w:val="0"/>
        <w:spacing w:before="200" w:line-rule="auto"/>
        <w:ind w:firstLine="540"/>
        <w:jc w:val="both"/>
      </w:pPr>
      <w:r>
        <w:rPr>
          <w:sz w:val="20"/>
        </w:rPr>
        <w:t xml:space="preserve">2) соответствие участника конкурсного отбора на дату подачи заявки следующим требованиям:</w:t>
      </w:r>
    </w:p>
    <w:p>
      <w:pPr>
        <w:pStyle w:val="0"/>
        <w:spacing w:before="200" w:line-rule="auto"/>
        <w:ind w:firstLine="540"/>
        <w:jc w:val="both"/>
      </w:pPr>
      <w:r>
        <w:rPr>
          <w:sz w:val="20"/>
        </w:rPr>
        <w:t xml:space="preserve">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pPr>
        <w:pStyle w:val="0"/>
        <w:spacing w:before="200" w:line-rule="auto"/>
        <w:ind w:firstLine="540"/>
        <w:jc w:val="both"/>
      </w:pPr>
      <w:r>
        <w:rPr>
          <w:sz w:val="20"/>
        </w:rPr>
        <w:t xml:space="preserve">в) в отношении участника конкурсного отбора отсутствует проведение процедуры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участник конкурсного отбора не должен находиться в реестре недобросовестных поставщиков,</w:t>
      </w:r>
    </w:p>
    <w:p>
      <w:pPr>
        <w:pStyle w:val="0"/>
        <w:spacing w:before="200" w:line-rule="auto"/>
        <w:ind w:firstLine="540"/>
        <w:jc w:val="both"/>
      </w:pPr>
      <w:r>
        <w:rPr>
          <w:sz w:val="20"/>
        </w:rPr>
        <w:t xml:space="preserve">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pPr>
        <w:pStyle w:val="0"/>
        <w:spacing w:before="200" w:line-rule="auto"/>
        <w:ind w:firstLine="540"/>
        <w:jc w:val="both"/>
      </w:pPr>
      <w:r>
        <w:rPr>
          <w:sz w:val="20"/>
        </w:rPr>
        <w:t xml:space="preserve">е) участник конкурсного отбора не имеет задолженности перед работниками по заработной плате,</w:t>
      </w:r>
    </w:p>
    <w:p>
      <w:pPr>
        <w:pStyle w:val="0"/>
        <w:spacing w:before="200" w:line-rule="auto"/>
        <w:ind w:firstLine="540"/>
        <w:jc w:val="both"/>
      </w:pPr>
      <w:r>
        <w:rPr>
          <w:sz w:val="20"/>
        </w:rPr>
        <w:t xml:space="preserve">ж) заработная плата работников не ниже размера, установленного региональным соглашением о минимальной заработной плате в Ленинградской области,</w:t>
      </w:r>
    </w:p>
    <w:p>
      <w:pPr>
        <w:pStyle w:val="0"/>
        <w:spacing w:before="200" w:line-rule="auto"/>
        <w:ind w:firstLine="540"/>
        <w:jc w:val="both"/>
      </w:pPr>
      <w:r>
        <w:rPr>
          <w:sz w:val="20"/>
        </w:rPr>
        <w:t xml:space="preserve">з) участник конкурсного отбора не является иностранным юридическим лицом, местом регистрации которого является в том числе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"з" в ред. </w:t>
      </w:r>
      <w:hyperlink w:history="0" r:id="rId112"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27.03.2023 N 197)</w:t>
      </w:r>
    </w:p>
    <w:p>
      <w:pPr>
        <w:pStyle w:val="0"/>
        <w:spacing w:before="200" w:line-rule="auto"/>
        <w:ind w:firstLine="540"/>
        <w:jc w:val="both"/>
      </w:pPr>
      <w:r>
        <w:rPr>
          <w:sz w:val="20"/>
        </w:rPr>
        <w:t xml:space="preserve">3)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pPr>
        <w:pStyle w:val="0"/>
        <w:spacing w:before="200" w:line-rule="auto"/>
        <w:ind w:firstLine="540"/>
        <w:jc w:val="both"/>
      </w:pPr>
      <w:r>
        <w:rPr>
          <w:sz w:val="20"/>
        </w:rPr>
        <w:t xml:space="preserve">4) согласие получателя субсидии на осуществление комитетом в отношении 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w:history="0" r:id="rId11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1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4 в ред. </w:t>
      </w:r>
      <w:hyperlink w:history="0" r:id="rId115"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5)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pPr>
        <w:pStyle w:val="0"/>
        <w:spacing w:before="200" w:line-rule="auto"/>
        <w:ind w:firstLine="540"/>
        <w:jc w:val="both"/>
      </w:pPr>
      <w:r>
        <w:rPr>
          <w:sz w:val="20"/>
        </w:rPr>
        <w:t xml:space="preserve">6) представление документов, указанных в </w:t>
      </w:r>
      <w:hyperlink w:history="0" w:anchor="P1788" w:tooltip="2.5. Для участия в конкурсном отборе участник представляет в комитет заявку, включающую следующие документы:">
        <w:r>
          <w:rPr>
            <w:sz w:val="20"/>
            <w:color w:val="0000ff"/>
          </w:rPr>
          <w:t xml:space="preserve">пункте 2.5</w:t>
        </w:r>
      </w:hyperlink>
      <w:r>
        <w:rPr>
          <w:sz w:val="20"/>
        </w:rPr>
        <w:t xml:space="preserve"> настоящего Порядка, в сроки, определенные в соответствии с </w:t>
      </w:r>
      <w:hyperlink w:history="0" w:anchor="P1772" w:tooltip="2.4.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quot;Интернет&quot; не поздне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 Объявление о проведении конкурсного отбора содержит следующую информацию:">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2.2. Средства субсидии могут быть направлены на следующие виды расходов:</w:t>
      </w:r>
    </w:p>
    <w:p>
      <w:pPr>
        <w:pStyle w:val="0"/>
        <w:spacing w:before="200" w:line-rule="auto"/>
        <w:ind w:firstLine="540"/>
        <w:jc w:val="both"/>
      </w:pPr>
      <w:r>
        <w:rPr>
          <w:sz w:val="20"/>
        </w:rPr>
        <w:t xml:space="preserve">оплата труда персонала, в том числе привлекаемого для подготовки и реализации проекта, начисления на выплаты по оплате труда;</w:t>
      </w:r>
    </w:p>
    <w:p>
      <w:pPr>
        <w:pStyle w:val="0"/>
        <w:spacing w:before="200" w:line-rule="auto"/>
        <w:ind w:firstLine="540"/>
        <w:jc w:val="both"/>
      </w:pPr>
      <w:r>
        <w:rPr>
          <w:sz w:val="20"/>
        </w:rPr>
        <w:t xml:space="preserve">оплата товаров, работ, услуг (услуги связи, транспортные услуги, арендная плата за пользование имуществом, прочие работы и услуги);</w:t>
      </w:r>
    </w:p>
    <w:p>
      <w:pPr>
        <w:pStyle w:val="0"/>
        <w:spacing w:before="200" w:line-rule="auto"/>
        <w:ind w:firstLine="540"/>
        <w:jc w:val="both"/>
      </w:pPr>
      <w:r>
        <w:rPr>
          <w:sz w:val="20"/>
        </w:rPr>
        <w:t xml:space="preserve">оплата налогов и иных сборов, установленных законодательством Российской Федерации;</w:t>
      </w:r>
    </w:p>
    <w:p>
      <w:pPr>
        <w:pStyle w:val="0"/>
        <w:spacing w:before="200" w:line-rule="auto"/>
        <w:ind w:firstLine="540"/>
        <w:jc w:val="both"/>
      </w:pPr>
      <w:r>
        <w:rPr>
          <w:sz w:val="20"/>
        </w:rPr>
        <w:t xml:space="preserve">прочие расходы, непосредственно связанные с осуществлением мероприятий по реализации проекта.</w:t>
      </w:r>
    </w:p>
    <w:p>
      <w:pPr>
        <w:pStyle w:val="0"/>
        <w:spacing w:before="200" w:line-rule="auto"/>
        <w:ind w:firstLine="540"/>
        <w:jc w:val="both"/>
      </w:pPr>
      <w:r>
        <w:rPr>
          <w:sz w:val="20"/>
        </w:rPr>
        <w:t xml:space="preserve">2.2.1. Субсидия не может быть направлена:</w:t>
      </w:r>
    </w:p>
    <w:p>
      <w:pPr>
        <w:pStyle w:val="0"/>
        <w:spacing w:before="200" w:line-rule="auto"/>
        <w:ind w:firstLine="540"/>
        <w:jc w:val="both"/>
      </w:pPr>
      <w:r>
        <w:rPr>
          <w:sz w:val="20"/>
        </w:rPr>
        <w:t xml:space="preserve">на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на расходы, связанные с осуществлением деятельности, не связанной с реализацией проекта;</w:t>
      </w:r>
    </w:p>
    <w:p>
      <w:pPr>
        <w:pStyle w:val="0"/>
        <w:spacing w:before="200" w:line-rule="auto"/>
        <w:ind w:firstLine="540"/>
        <w:jc w:val="both"/>
      </w:pPr>
      <w:r>
        <w:rPr>
          <w:sz w:val="20"/>
        </w:rPr>
        <w:t xml:space="preserve">на расходы на оплату кредитов и займов.</w:t>
      </w:r>
    </w:p>
    <w:p>
      <w:pPr>
        <w:pStyle w:val="0"/>
        <w:spacing w:before="200" w:line-rule="auto"/>
        <w:ind w:firstLine="540"/>
        <w:jc w:val="both"/>
      </w:pPr>
      <w:r>
        <w:rPr>
          <w:sz w:val="20"/>
        </w:rPr>
        <w:t xml:space="preserve">2.3. Субсидии предоставляются по результатам конкурсного отбора.</w:t>
      </w:r>
    </w:p>
    <w:bookmarkStart w:id="1772" w:name="P1772"/>
    <w:bookmarkEnd w:id="1772"/>
    <w:p>
      <w:pPr>
        <w:pStyle w:val="0"/>
        <w:spacing w:before="200" w:line-rule="auto"/>
        <w:ind w:firstLine="540"/>
        <w:jc w:val="both"/>
      </w:pPr>
      <w:r>
        <w:rPr>
          <w:sz w:val="20"/>
        </w:rPr>
        <w:t xml:space="preserve">2.4.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 Объявление о проведении конкурсного отбора содержит следующую информацию:</w:t>
      </w:r>
    </w:p>
    <w:p>
      <w:pPr>
        <w:pStyle w:val="0"/>
        <w:spacing w:before="200" w:line-rule="auto"/>
        <w:ind w:firstLine="540"/>
        <w:jc w:val="both"/>
      </w:pPr>
      <w:r>
        <w:rPr>
          <w:sz w:val="20"/>
        </w:rPr>
        <w:t xml:space="preserve">а) срок проведения конкурсного отбора;</w:t>
      </w:r>
    </w:p>
    <w:p>
      <w:pPr>
        <w:pStyle w:val="0"/>
        <w:spacing w:before="200" w:line-rule="auto"/>
        <w:ind w:firstLine="540"/>
        <w:jc w:val="both"/>
      </w:pPr>
      <w:r>
        <w:rPr>
          <w:sz w:val="20"/>
        </w:rPr>
        <w:t xml:space="preserve">б) 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в) 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г) результаты предоставления субсидий в соответствии с </w:t>
      </w:r>
      <w:hyperlink w:history="0" w:anchor="P1884" w:tooltip="2.22. Планируемым результатом предоставления субсидии являются реализованные мероприятия проекта.">
        <w:r>
          <w:rPr>
            <w:sz w:val="20"/>
            <w:color w:val="0000ff"/>
          </w:rPr>
          <w:t xml:space="preserve">пунктом 2.22</w:t>
        </w:r>
      </w:hyperlink>
      <w:r>
        <w:rPr>
          <w:sz w:val="20"/>
        </w:rPr>
        <w:t xml:space="preserve"> настоящего Порядка;</w:t>
      </w:r>
    </w:p>
    <w:p>
      <w:pPr>
        <w:pStyle w:val="0"/>
        <w:spacing w:before="200" w:line-rule="auto"/>
        <w:ind w:firstLine="540"/>
        <w:jc w:val="both"/>
      </w:pPr>
      <w:r>
        <w:rPr>
          <w:sz w:val="20"/>
        </w:rPr>
        <w:t xml:space="preserve">д)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е) требования к участникам конкурсного отбора в соответствии с </w:t>
      </w:r>
      <w:hyperlink w:history="0" w:anchor="P1745" w:tooltip="2.1. Субсидии предоставляются при соблюдении следующих условий:">
        <w:r>
          <w:rPr>
            <w:sz w:val="20"/>
            <w:color w:val="0000ff"/>
          </w:rPr>
          <w:t xml:space="preserve">пунктом 2.1</w:t>
        </w:r>
      </w:hyperlink>
      <w:r>
        <w:rPr>
          <w:sz w:val="20"/>
        </w:rPr>
        <w:t xml:space="preserve">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w:t>
      </w:r>
      <w:hyperlink w:history="0" w:anchor="P1788"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ж)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pPr>
        <w:pStyle w:val="0"/>
        <w:spacing w:before="200" w:line-rule="auto"/>
        <w:ind w:firstLine="540"/>
        <w:jc w:val="both"/>
      </w:pPr>
      <w:r>
        <w:rPr>
          <w:sz w:val="20"/>
        </w:rPr>
        <w:t xml:space="preserve">з)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pPr>
        <w:pStyle w:val="0"/>
        <w:spacing w:before="200" w:line-rule="auto"/>
        <w:ind w:firstLine="540"/>
        <w:jc w:val="both"/>
      </w:pPr>
      <w:r>
        <w:rPr>
          <w:sz w:val="20"/>
        </w:rPr>
        <w:t xml:space="preserve">и) правила рассмотрения и оценки заявок участников конкурсного отбора;</w:t>
      </w:r>
    </w:p>
    <w:p>
      <w:pPr>
        <w:pStyle w:val="0"/>
        <w:spacing w:before="200" w:line-rule="auto"/>
        <w:ind w:firstLine="540"/>
        <w:jc w:val="both"/>
      </w:pPr>
      <w:r>
        <w:rPr>
          <w:sz w:val="20"/>
        </w:rPr>
        <w:t xml:space="preserve">к) порядок предоставления участникам конкурсного отбора разъяснений положений объявления о проведении конкурсного отбора, дату начала и окончания срока такого предоставления;</w:t>
      </w:r>
    </w:p>
    <w:p>
      <w:pPr>
        <w:pStyle w:val="0"/>
        <w:spacing w:before="200" w:line-rule="auto"/>
        <w:ind w:firstLine="540"/>
        <w:jc w:val="both"/>
      </w:pPr>
      <w:r>
        <w:rPr>
          <w:sz w:val="20"/>
        </w:rPr>
        <w:t xml:space="preserve">л) срок, в течение которого победители конкурсного отбора должны подписать соглашения о предоставлении субсидии;</w:t>
      </w:r>
    </w:p>
    <w:p>
      <w:pPr>
        <w:pStyle w:val="0"/>
        <w:spacing w:before="200" w:line-rule="auto"/>
        <w:ind w:firstLine="540"/>
        <w:jc w:val="both"/>
      </w:pPr>
      <w:r>
        <w:rPr>
          <w:sz w:val="20"/>
        </w:rPr>
        <w:t xml:space="preserve">м) условия признания победителя (победителей) конкурсного отбора уклонившимся (уклонившимися) от заключения соглашения;</w:t>
      </w:r>
    </w:p>
    <w:p>
      <w:pPr>
        <w:pStyle w:val="0"/>
        <w:spacing w:before="200" w:line-rule="auto"/>
        <w:ind w:firstLine="540"/>
        <w:jc w:val="both"/>
      </w:pPr>
      <w:r>
        <w:rPr>
          <w:sz w:val="20"/>
        </w:rPr>
        <w:t xml:space="preserve">н) дата размещения результатов конкурсного отбора на едином портале (при наличии технической возможности) и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Размещение объявления о проведении конкурсного отбора осуществляет секретарь комиссии.</w:t>
      </w:r>
    </w:p>
    <w:p>
      <w:pPr>
        <w:pStyle w:val="0"/>
        <w:spacing w:before="200" w:line-rule="auto"/>
        <w:ind w:firstLine="540"/>
        <w:jc w:val="both"/>
      </w:pPr>
      <w:r>
        <w:rPr>
          <w:sz w:val="20"/>
        </w:rPr>
        <w:t xml:space="preserve">Поступающие заявки регистрируются в соответствующем журнале в день поступления в комитет.</w:t>
      </w:r>
    </w:p>
    <w:bookmarkStart w:id="1788" w:name="P1788"/>
    <w:bookmarkEnd w:id="1788"/>
    <w:p>
      <w:pPr>
        <w:pStyle w:val="0"/>
        <w:spacing w:before="200" w:line-rule="auto"/>
        <w:ind w:firstLine="540"/>
        <w:jc w:val="both"/>
      </w:pPr>
      <w:r>
        <w:rPr>
          <w:sz w:val="20"/>
        </w:rPr>
        <w:t xml:space="preserve">2.5. Для участия в конкурсном отборе участник представляет в комитет заявку, включающую следующие документы:</w:t>
      </w:r>
    </w:p>
    <w:p>
      <w:pPr>
        <w:pStyle w:val="0"/>
        <w:spacing w:before="200" w:line-rule="auto"/>
        <w:ind w:firstLine="540"/>
        <w:jc w:val="both"/>
      </w:pPr>
      <w:r>
        <w:rPr>
          <w:sz w:val="20"/>
        </w:rPr>
        <w:t xml:space="preserve">а) заявление на предоставление субсидии по форме, утвержденной правовым актом комитета;</w:t>
      </w:r>
    </w:p>
    <w:p>
      <w:pPr>
        <w:pStyle w:val="0"/>
        <w:spacing w:before="200" w:line-rule="auto"/>
        <w:ind w:firstLine="540"/>
        <w:jc w:val="both"/>
      </w:pPr>
      <w:r>
        <w:rPr>
          <w:sz w:val="20"/>
        </w:rPr>
        <w:t xml:space="preserve">б) смету планируемых расходов на реализацию проекта (включая информацию о стоимости каждого мероприятия проекта с разбивкой по количеству единиц, стоимости за единицу и общей стоимости проекта);</w:t>
      </w:r>
    </w:p>
    <w:p>
      <w:pPr>
        <w:pStyle w:val="0"/>
        <w:spacing w:before="200" w:line-rule="auto"/>
        <w:ind w:firstLine="540"/>
        <w:jc w:val="both"/>
      </w:pPr>
      <w:r>
        <w:rPr>
          <w:sz w:val="20"/>
        </w:rPr>
        <w:t xml:space="preserve">в) копию устава, заверенную подписью лица, имеющего право действовать без доверенности от имени некоммерческой организации (далее - руководитель), и печатью (при наличии);</w:t>
      </w:r>
    </w:p>
    <w:p>
      <w:pPr>
        <w:pStyle w:val="0"/>
        <w:spacing w:before="200" w:line-rule="auto"/>
        <w:ind w:firstLine="540"/>
        <w:jc w:val="both"/>
      </w:pPr>
      <w:r>
        <w:rPr>
          <w:sz w:val="20"/>
        </w:rPr>
        <w:t xml:space="preserve">г) справку об отсутствии просроченной задолженности по возврату в областной бюджет Ленинградской области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 заверенную подписями руководителя, главного бухгалтера и печатью (при наличии);</w:t>
      </w:r>
    </w:p>
    <w:p>
      <w:pPr>
        <w:pStyle w:val="0"/>
        <w:spacing w:before="200" w:line-rule="auto"/>
        <w:ind w:firstLine="540"/>
        <w:jc w:val="both"/>
      </w:pPr>
      <w:r>
        <w:rPr>
          <w:sz w:val="20"/>
        </w:rPr>
        <w:t xml:space="preserve">д) справку об отсутствии в отношении участника конкурсного отбора проведения процедуры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банкротства, приостановления деятельности в порядке, предусмотренном законодательством Российской Федерации, заверенную подписями руководителя, главного бухгалтера и печатью (при наличии);</w:t>
      </w:r>
    </w:p>
    <w:p>
      <w:pPr>
        <w:pStyle w:val="0"/>
        <w:spacing w:before="200" w:line-rule="auto"/>
        <w:ind w:firstLine="540"/>
        <w:jc w:val="both"/>
      </w:pPr>
      <w:r>
        <w:rPr>
          <w:sz w:val="20"/>
        </w:rPr>
        <w:t xml:space="preserve">е) справку о том, что участник конкурсного отбора не находится в реестре недобросовестных поставщиков, заверенную подписью руководителя и печатью (при наличии);</w:t>
      </w:r>
    </w:p>
    <w:p>
      <w:pPr>
        <w:pStyle w:val="0"/>
        <w:spacing w:before="200" w:line-rule="auto"/>
        <w:ind w:firstLine="540"/>
        <w:jc w:val="both"/>
      </w:pPr>
      <w:r>
        <w:rPr>
          <w:sz w:val="20"/>
        </w:rPr>
        <w:t xml:space="preserve">ж) справку о том, что в текущем финансовом году участник конкурсного отбора не получал средства из бюджета Ленинградской области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pPr>
        <w:pStyle w:val="0"/>
        <w:spacing w:before="200" w:line-rule="auto"/>
        <w:ind w:firstLine="540"/>
        <w:jc w:val="both"/>
      </w:pPr>
      <w:r>
        <w:rPr>
          <w:sz w:val="20"/>
        </w:rPr>
        <w:t xml:space="preserve">з) справку об отсутствии задолженности перед работниками по заработной плате, заверенную подписями руководителя, главного бухгалтера и печатью (при наличии);</w:t>
      </w:r>
    </w:p>
    <w:p>
      <w:pPr>
        <w:pStyle w:val="0"/>
        <w:spacing w:before="200" w:line-rule="auto"/>
        <w:ind w:firstLine="540"/>
        <w:jc w:val="both"/>
      </w:pPr>
      <w:r>
        <w:rPr>
          <w:sz w:val="20"/>
        </w:rPr>
        <w:t xml:space="preserve">и) справку о среднемесячной заработной плате работников, заверенную подписями руководителя, главного бухгалтера и печатью (при наличии);</w:t>
      </w:r>
    </w:p>
    <w:p>
      <w:pPr>
        <w:pStyle w:val="0"/>
        <w:spacing w:before="200" w:line-rule="auto"/>
        <w:ind w:firstLine="540"/>
        <w:jc w:val="both"/>
      </w:pPr>
      <w:r>
        <w:rPr>
          <w:sz w:val="20"/>
        </w:rPr>
        <w:t xml:space="preserve">к) копию документа, подтверждающего полномочия руководителя, заверенную подписью руководителя и печатью (при наличии).</w:t>
      </w:r>
    </w:p>
    <w:p>
      <w:pPr>
        <w:pStyle w:val="0"/>
        <w:spacing w:before="200" w:line-rule="auto"/>
        <w:ind w:firstLine="540"/>
        <w:jc w:val="both"/>
      </w:pPr>
      <w:r>
        <w:rPr>
          <w:sz w:val="20"/>
        </w:rPr>
        <w:t xml:space="preserve">2.5.1.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pPr>
        <w:pStyle w:val="0"/>
        <w:spacing w:before="200" w:line-rule="auto"/>
        <w:ind w:firstLine="540"/>
        <w:jc w:val="both"/>
      </w:pPr>
      <w:r>
        <w:rPr>
          <w:sz w:val="20"/>
        </w:rPr>
        <w:t xml:space="preserve">выписка из Единого государственного реестра юридических лиц;</w:t>
      </w:r>
    </w:p>
    <w:p>
      <w:pPr>
        <w:pStyle w:val="0"/>
        <w:spacing w:before="200" w:line-rule="auto"/>
        <w:ind w:firstLine="540"/>
        <w:jc w:val="both"/>
      </w:pPr>
      <w:r>
        <w:rPr>
          <w:sz w:val="20"/>
        </w:rPr>
        <w:t xml:space="preserve">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pPr>
        <w:pStyle w:val="0"/>
        <w:spacing w:before="200" w:line-rule="auto"/>
        <w:ind w:firstLine="540"/>
        <w:jc w:val="both"/>
      </w:pPr>
      <w:r>
        <w:rPr>
          <w:sz w:val="20"/>
        </w:rPr>
        <w:t xml:space="preserve">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pPr>
        <w:pStyle w:val="0"/>
        <w:spacing w:before="200" w:line-rule="auto"/>
        <w:ind w:firstLine="540"/>
        <w:jc w:val="both"/>
      </w:pPr>
      <w:r>
        <w:rPr>
          <w:sz w:val="20"/>
        </w:rPr>
        <w:t xml:space="preserve">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2.6. Участник конкурсного отбора подает не более одной заявки для получения субсидии.</w:t>
      </w:r>
    </w:p>
    <w:p>
      <w:pPr>
        <w:pStyle w:val="0"/>
        <w:spacing w:before="200" w:line-rule="auto"/>
        <w:ind w:firstLine="540"/>
        <w:jc w:val="both"/>
      </w:pPr>
      <w:r>
        <w:rPr>
          <w:sz w:val="20"/>
        </w:rPr>
        <w:t xml:space="preserve">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 Указанные документы должны быть пронумерованы и прошиты, с обратной стороны скреплены печатью (при наличии), подписаны руководителем.</w:t>
      </w:r>
    </w:p>
    <w:p>
      <w:pPr>
        <w:pStyle w:val="0"/>
        <w:spacing w:before="200" w:line-rule="auto"/>
        <w:ind w:firstLine="540"/>
        <w:jc w:val="both"/>
      </w:pPr>
      <w:r>
        <w:rPr>
          <w:sz w:val="20"/>
        </w:rPr>
        <w:t xml:space="preserve">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pPr>
        <w:pStyle w:val="0"/>
        <w:spacing w:before="200" w:line-rule="auto"/>
        <w:ind w:firstLine="540"/>
        <w:jc w:val="both"/>
      </w:pPr>
      <w:r>
        <w:rPr>
          <w:sz w:val="20"/>
        </w:rPr>
        <w:t xml:space="preserve">Внесение изменений в заявку осуществляется путем отзыва и подачи новой заявки.</w:t>
      </w:r>
    </w:p>
    <w:p>
      <w:pPr>
        <w:pStyle w:val="0"/>
        <w:spacing w:before="200" w:line-rule="auto"/>
        <w:ind w:firstLine="540"/>
        <w:jc w:val="both"/>
      </w:pPr>
      <w:r>
        <w:rPr>
          <w:sz w:val="20"/>
        </w:rPr>
        <w:t xml:space="preserve">В случае поступления запроса от участника конкурсного отбора о разъяснении положений объявления о проведении конкурсного отбора комитет направляет посредством электронной почты ответ на запрос о разъяснении положений объявления о проведении конкурсного отбора в течение трех рабочих дней со дня поступления запроса (запрос должен содержать адрес электронной почты отправителя).</w:t>
      </w:r>
    </w:p>
    <w:p>
      <w:pPr>
        <w:pStyle w:val="0"/>
        <w:jc w:val="both"/>
      </w:pPr>
      <w:r>
        <w:rPr>
          <w:sz w:val="20"/>
        </w:rPr>
        <w:t xml:space="preserve">(абзац введен </w:t>
      </w:r>
      <w:hyperlink w:history="0" r:id="rId116"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pPr>
        <w:pStyle w:val="0"/>
        <w:spacing w:before="200" w:line-rule="auto"/>
        <w:ind w:firstLine="540"/>
        <w:jc w:val="both"/>
      </w:pPr>
      <w:r>
        <w:rPr>
          <w:sz w:val="20"/>
        </w:rP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history="0" w:anchor="P1857" w:tooltip="2.11. Основаниями для отклонения заявки участника конкурсного отбора на стадии рассмотрения и оценки заявок являются:">
        <w:r>
          <w:rPr>
            <w:sz w:val="20"/>
            <w:color w:val="0000ff"/>
          </w:rPr>
          <w:t xml:space="preserve">пунктами 2.11</w:t>
        </w:r>
      </w:hyperlink>
      <w:r>
        <w:rPr>
          <w:sz w:val="20"/>
        </w:rPr>
        <w:t xml:space="preserve"> и </w:t>
      </w:r>
      <w:hyperlink w:history="0" w:anchor="P1862" w:tooltip="2.12. Основаниями для отказа получателю субсидии в предоставлении субсидии являются:">
        <w:r>
          <w:rPr>
            <w:sz w:val="20"/>
            <w:color w:val="0000ff"/>
          </w:rPr>
          <w:t xml:space="preserve">2.12</w:t>
        </w:r>
      </w:hyperlink>
      <w:r>
        <w:rPr>
          <w:sz w:val="20"/>
        </w:rPr>
        <w:t xml:space="preserve"> настоящего Порядка, определяет победителя конкурсного отбора на основании критериев оценки заявок.</w:t>
      </w:r>
    </w:p>
    <w:p>
      <w:pPr>
        <w:pStyle w:val="0"/>
        <w:spacing w:before="200" w:line-rule="auto"/>
        <w:ind w:firstLine="540"/>
        <w:jc w:val="both"/>
      </w:pPr>
      <w:r>
        <w:rPr>
          <w:sz w:val="20"/>
        </w:rPr>
        <w:t xml:space="preserve">Рассмотрение заявок производится в соответствии с датой и временем их поступления в комиссию.</w:t>
      </w:r>
    </w:p>
    <w:p>
      <w:pPr>
        <w:pStyle w:val="0"/>
        <w:spacing w:before="200" w:line-rule="auto"/>
        <w:ind w:firstLine="540"/>
        <w:jc w:val="both"/>
      </w:pPr>
      <w:r>
        <w:rPr>
          <w:sz w:val="20"/>
        </w:rPr>
        <w:t xml:space="preserve">2.10. Представленные на конкурсный отбор заявки оцениваются комиссией по балльной системе в соответствии с критериями, указанными в </w:t>
      </w:r>
      <w:hyperlink w:history="0" w:anchor="P1731" w:tooltip="1.6. Критерии отбора получателей субсидий:">
        <w:r>
          <w:rPr>
            <w:sz w:val="20"/>
            <w:color w:val="0000ff"/>
          </w:rPr>
          <w:t xml:space="preserve">пункте 1.6</w:t>
        </w:r>
      </w:hyperlink>
      <w:r>
        <w:rPr>
          <w:sz w:val="20"/>
        </w:rPr>
        <w:t xml:space="preserve"> настоящего Порядка: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649"/>
        <w:gridCol w:w="3912"/>
      </w:tblGrid>
      <w:tr>
        <w:tc>
          <w:tcPr>
            <w:tcW w:w="510" w:type="dxa"/>
          </w:tcPr>
          <w:p>
            <w:pPr>
              <w:pStyle w:val="0"/>
              <w:jc w:val="center"/>
            </w:pPr>
            <w:r>
              <w:rPr>
                <w:sz w:val="20"/>
              </w:rPr>
              <w:t xml:space="preserve">N п/п</w:t>
            </w:r>
          </w:p>
        </w:tc>
        <w:tc>
          <w:tcPr>
            <w:tcW w:w="4649" w:type="dxa"/>
          </w:tcPr>
          <w:p>
            <w:pPr>
              <w:pStyle w:val="0"/>
              <w:jc w:val="center"/>
            </w:pPr>
            <w:r>
              <w:rPr>
                <w:sz w:val="20"/>
              </w:rPr>
              <w:t xml:space="preserve">Наименование критерия</w:t>
            </w:r>
          </w:p>
        </w:tc>
        <w:tc>
          <w:tcPr>
            <w:tcW w:w="3912" w:type="dxa"/>
          </w:tcPr>
          <w:p>
            <w:pPr>
              <w:pStyle w:val="0"/>
              <w:jc w:val="center"/>
            </w:pPr>
            <w:r>
              <w:rPr>
                <w:sz w:val="20"/>
              </w:rPr>
              <w:t xml:space="preserve">Количество баллов</w:t>
            </w:r>
          </w:p>
        </w:tc>
      </w:tr>
      <w:tr>
        <w:tc>
          <w:tcPr>
            <w:tcW w:w="510" w:type="dxa"/>
          </w:tcPr>
          <w:p>
            <w:pPr>
              <w:pStyle w:val="0"/>
              <w:jc w:val="center"/>
            </w:pPr>
            <w:r>
              <w:rPr>
                <w:sz w:val="20"/>
              </w:rPr>
              <w:t xml:space="preserve">1</w:t>
            </w:r>
          </w:p>
        </w:tc>
        <w:tc>
          <w:tcPr>
            <w:tcW w:w="4649" w:type="dxa"/>
          </w:tcPr>
          <w:p>
            <w:pPr>
              <w:pStyle w:val="0"/>
              <w:jc w:val="center"/>
            </w:pPr>
            <w:r>
              <w:rPr>
                <w:sz w:val="20"/>
              </w:rPr>
              <w:t xml:space="preserve">2</w:t>
            </w:r>
          </w:p>
        </w:tc>
        <w:tc>
          <w:tcPr>
            <w:tcW w:w="3912" w:type="dxa"/>
          </w:tcPr>
          <w:p>
            <w:pPr>
              <w:pStyle w:val="0"/>
              <w:jc w:val="center"/>
            </w:pPr>
            <w:r>
              <w:rPr>
                <w:sz w:val="20"/>
              </w:rPr>
              <w:t xml:space="preserve">3</w:t>
            </w:r>
          </w:p>
        </w:tc>
      </w:tr>
      <w:tr>
        <w:tc>
          <w:tcPr>
            <w:tcW w:w="510" w:type="dxa"/>
          </w:tcPr>
          <w:p>
            <w:pPr>
              <w:pStyle w:val="0"/>
              <w:jc w:val="center"/>
            </w:pPr>
            <w:r>
              <w:rPr>
                <w:sz w:val="20"/>
              </w:rPr>
              <w:t xml:space="preserve">1</w:t>
            </w:r>
          </w:p>
        </w:tc>
        <w:tc>
          <w:tcPr>
            <w:tcW w:w="4649" w:type="dxa"/>
          </w:tcPr>
          <w:p>
            <w:pPr>
              <w:pStyle w:val="0"/>
            </w:pPr>
            <w:r>
              <w:rPr>
                <w:sz w:val="20"/>
              </w:rPr>
              <w:t xml:space="preserve">Соответствие мероприятий, проводимых в рамках проекта, законодательству в сфере перевозки детей</w:t>
            </w:r>
          </w:p>
        </w:tc>
        <w:tc>
          <w:tcPr>
            <w:tcW w:w="3912" w:type="dxa"/>
          </w:tcPr>
          <w:p>
            <w:pPr>
              <w:pStyle w:val="0"/>
            </w:pPr>
            <w:r>
              <w:rPr>
                <w:sz w:val="20"/>
              </w:rPr>
              <w:t xml:space="preserve">Соответствует - 20 баллов,</w:t>
            </w:r>
          </w:p>
          <w:p>
            <w:pPr>
              <w:pStyle w:val="0"/>
            </w:pPr>
            <w:r>
              <w:rPr>
                <w:sz w:val="20"/>
              </w:rPr>
              <w:t xml:space="preserve">не соответствует - 0 баллов</w:t>
            </w:r>
          </w:p>
        </w:tc>
      </w:tr>
      <w:tr>
        <w:tc>
          <w:tcPr>
            <w:tcW w:w="510" w:type="dxa"/>
            <w:vMerge w:val="restart"/>
          </w:tcPr>
          <w:p>
            <w:pPr>
              <w:pStyle w:val="0"/>
              <w:jc w:val="center"/>
            </w:pPr>
            <w:r>
              <w:rPr>
                <w:sz w:val="20"/>
              </w:rPr>
              <w:t xml:space="preserve">2</w:t>
            </w:r>
          </w:p>
        </w:tc>
        <w:tc>
          <w:tcPr>
            <w:tcW w:w="4649" w:type="dxa"/>
            <w:vMerge w:val="restart"/>
          </w:tcPr>
          <w:p>
            <w:pPr>
              <w:pStyle w:val="0"/>
            </w:pPr>
            <w:r>
              <w:rPr>
                <w:sz w:val="20"/>
              </w:rPr>
              <w:t xml:space="preserve">Охват школьников и учащихся мероприятиями, проводимыми в рамках проекта</w:t>
            </w:r>
          </w:p>
        </w:tc>
        <w:tc>
          <w:tcPr>
            <w:tcW w:w="3912" w:type="dxa"/>
          </w:tcPr>
          <w:p>
            <w:pPr>
              <w:pStyle w:val="0"/>
            </w:pPr>
            <w:r>
              <w:rPr>
                <w:sz w:val="20"/>
              </w:rPr>
              <w:t xml:space="preserve">Более 3000 чел. - 20 баллов</w:t>
            </w:r>
          </w:p>
        </w:tc>
      </w:tr>
      <w:tr>
        <w:tc>
          <w:tcPr>
            <w:vMerge w:val="continue"/>
          </w:tcPr>
          <w:p/>
        </w:tc>
        <w:tc>
          <w:tcPr>
            <w:vMerge w:val="continue"/>
          </w:tcPr>
          <w:p/>
        </w:tc>
        <w:tc>
          <w:tcPr>
            <w:tcW w:w="3912" w:type="dxa"/>
          </w:tcPr>
          <w:p>
            <w:pPr>
              <w:pStyle w:val="0"/>
            </w:pPr>
            <w:r>
              <w:rPr>
                <w:sz w:val="20"/>
              </w:rPr>
              <w:t xml:space="preserve">от 1500 до 3000 чел. - 10 баллов</w:t>
            </w:r>
          </w:p>
        </w:tc>
      </w:tr>
      <w:tr>
        <w:tc>
          <w:tcPr>
            <w:vMerge w:val="continue"/>
          </w:tcPr>
          <w:p/>
        </w:tc>
        <w:tc>
          <w:tcPr>
            <w:vMerge w:val="continue"/>
          </w:tcPr>
          <w:p/>
        </w:tc>
        <w:tc>
          <w:tcPr>
            <w:tcW w:w="3912" w:type="dxa"/>
          </w:tcPr>
          <w:p>
            <w:pPr>
              <w:pStyle w:val="0"/>
            </w:pPr>
            <w:r>
              <w:rPr>
                <w:sz w:val="20"/>
              </w:rPr>
              <w:t xml:space="preserve">от 500 до 1499 чел. - 5 баллов</w:t>
            </w:r>
          </w:p>
        </w:tc>
      </w:tr>
      <w:tr>
        <w:tc>
          <w:tcPr>
            <w:vMerge w:val="continue"/>
          </w:tcPr>
          <w:p/>
        </w:tc>
        <w:tc>
          <w:tcPr>
            <w:vMerge w:val="continue"/>
          </w:tcPr>
          <w:p/>
        </w:tc>
        <w:tc>
          <w:tcPr>
            <w:tcW w:w="3912" w:type="dxa"/>
          </w:tcPr>
          <w:p>
            <w:pPr>
              <w:pStyle w:val="0"/>
            </w:pPr>
            <w:r>
              <w:rPr>
                <w:sz w:val="20"/>
              </w:rPr>
              <w:t xml:space="preserve">менее 500 чел. - 0 баллов</w:t>
            </w:r>
          </w:p>
        </w:tc>
      </w:tr>
      <w:tr>
        <w:tc>
          <w:tcPr>
            <w:tcW w:w="510" w:type="dxa"/>
            <w:vMerge w:val="restart"/>
          </w:tcPr>
          <w:p>
            <w:pPr>
              <w:pStyle w:val="0"/>
              <w:jc w:val="center"/>
            </w:pPr>
            <w:r>
              <w:rPr>
                <w:sz w:val="20"/>
              </w:rPr>
              <w:t xml:space="preserve">3</w:t>
            </w:r>
          </w:p>
        </w:tc>
        <w:tc>
          <w:tcPr>
            <w:tcW w:w="4649" w:type="dxa"/>
            <w:vMerge w:val="restart"/>
          </w:tcPr>
          <w:p>
            <w:pPr>
              <w:pStyle w:val="0"/>
            </w:pPr>
            <w:r>
              <w:rPr>
                <w:sz w:val="20"/>
              </w:rPr>
              <w:t xml:space="preserve">Количество туристских маршрутов, реализуемых в рамках проекта</w:t>
            </w:r>
          </w:p>
        </w:tc>
        <w:tc>
          <w:tcPr>
            <w:tcW w:w="3912" w:type="dxa"/>
          </w:tcPr>
          <w:p>
            <w:pPr>
              <w:pStyle w:val="0"/>
            </w:pPr>
            <w:r>
              <w:rPr>
                <w:sz w:val="20"/>
              </w:rPr>
              <w:t xml:space="preserve">Более 6 маршрутов - 15 баллов</w:t>
            </w:r>
          </w:p>
        </w:tc>
      </w:tr>
      <w:tr>
        <w:tc>
          <w:tcPr>
            <w:vMerge w:val="continue"/>
          </w:tcPr>
          <w:p/>
        </w:tc>
        <w:tc>
          <w:tcPr>
            <w:vMerge w:val="continue"/>
          </w:tcPr>
          <w:p/>
        </w:tc>
        <w:tc>
          <w:tcPr>
            <w:tcW w:w="3912" w:type="dxa"/>
          </w:tcPr>
          <w:p>
            <w:pPr>
              <w:pStyle w:val="0"/>
            </w:pPr>
            <w:r>
              <w:rPr>
                <w:sz w:val="20"/>
              </w:rPr>
              <w:t xml:space="preserve">от 2 до 5 маршрутов - 10 баллов</w:t>
            </w:r>
          </w:p>
        </w:tc>
      </w:tr>
      <w:tr>
        <w:tc>
          <w:tcPr>
            <w:vMerge w:val="continue"/>
          </w:tcPr>
          <w:p/>
        </w:tc>
        <w:tc>
          <w:tcPr>
            <w:vMerge w:val="continue"/>
          </w:tcPr>
          <w:p/>
        </w:tc>
        <w:tc>
          <w:tcPr>
            <w:tcW w:w="3912" w:type="dxa"/>
          </w:tcPr>
          <w:p>
            <w:pPr>
              <w:pStyle w:val="0"/>
            </w:pPr>
            <w:r>
              <w:rPr>
                <w:sz w:val="20"/>
              </w:rPr>
              <w:t xml:space="preserve">менее 2 маршрутов - 0 баллов</w:t>
            </w:r>
          </w:p>
        </w:tc>
      </w:tr>
      <w:tr>
        <w:tc>
          <w:tcPr>
            <w:tcW w:w="510" w:type="dxa"/>
            <w:vMerge w:val="restart"/>
          </w:tcPr>
          <w:p>
            <w:pPr>
              <w:pStyle w:val="0"/>
              <w:jc w:val="center"/>
            </w:pPr>
            <w:r>
              <w:rPr>
                <w:sz w:val="20"/>
              </w:rPr>
              <w:t xml:space="preserve">4</w:t>
            </w:r>
          </w:p>
        </w:tc>
        <w:tc>
          <w:tcPr>
            <w:tcW w:w="4649" w:type="dxa"/>
            <w:vMerge w:val="restart"/>
          </w:tcPr>
          <w:p>
            <w:pPr>
              <w:pStyle w:val="0"/>
            </w:pPr>
            <w:r>
              <w:rPr>
                <w:sz w:val="20"/>
              </w:rPr>
              <w:t xml:space="preserve">Охват школьников и учащихся с ограниченными возможностями здоровья мероприятиями, проводимыми в рамках проекта</w:t>
            </w:r>
          </w:p>
        </w:tc>
        <w:tc>
          <w:tcPr>
            <w:tcW w:w="3912" w:type="dxa"/>
          </w:tcPr>
          <w:p>
            <w:pPr>
              <w:pStyle w:val="0"/>
            </w:pPr>
            <w:r>
              <w:rPr>
                <w:sz w:val="20"/>
              </w:rPr>
              <w:t xml:space="preserve">Предусматривается - 15 баллов</w:t>
            </w:r>
          </w:p>
        </w:tc>
      </w:tr>
      <w:tr>
        <w:tc>
          <w:tcPr>
            <w:vMerge w:val="continue"/>
          </w:tcPr>
          <w:p/>
        </w:tc>
        <w:tc>
          <w:tcPr>
            <w:vMerge w:val="continue"/>
          </w:tcPr>
          <w:p/>
        </w:tc>
        <w:tc>
          <w:tcPr>
            <w:tcW w:w="3912" w:type="dxa"/>
          </w:tcPr>
          <w:p>
            <w:pPr>
              <w:pStyle w:val="0"/>
            </w:pPr>
            <w:r>
              <w:rPr>
                <w:sz w:val="20"/>
              </w:rPr>
              <w:t xml:space="preserve">не предусматривается - 0 баллов</w:t>
            </w:r>
          </w:p>
        </w:tc>
      </w:tr>
      <w:tr>
        <w:tc>
          <w:tcPr>
            <w:tcW w:w="510" w:type="dxa"/>
            <w:vMerge w:val="restart"/>
          </w:tcPr>
          <w:p>
            <w:pPr>
              <w:pStyle w:val="0"/>
              <w:jc w:val="center"/>
            </w:pPr>
            <w:r>
              <w:rPr>
                <w:sz w:val="20"/>
              </w:rPr>
              <w:t xml:space="preserve">5</w:t>
            </w:r>
          </w:p>
        </w:tc>
        <w:tc>
          <w:tcPr>
            <w:tcW w:w="4649" w:type="dxa"/>
            <w:vMerge w:val="restart"/>
          </w:tcPr>
          <w:p>
            <w:pPr>
              <w:pStyle w:val="0"/>
            </w:pPr>
            <w:r>
              <w:rPr>
                <w:sz w:val="20"/>
              </w:rPr>
              <w:t xml:space="preserve">Количество реализованных проектов в сфере детско-юношеского туризма за последние пять лет</w:t>
            </w:r>
          </w:p>
        </w:tc>
        <w:tc>
          <w:tcPr>
            <w:tcW w:w="3912" w:type="dxa"/>
          </w:tcPr>
          <w:p>
            <w:pPr>
              <w:pStyle w:val="0"/>
            </w:pPr>
            <w:r>
              <w:rPr>
                <w:sz w:val="20"/>
              </w:rPr>
              <w:t xml:space="preserve">4 и более проектов - 15 баллов</w:t>
            </w:r>
          </w:p>
        </w:tc>
      </w:tr>
      <w:tr>
        <w:tc>
          <w:tcPr>
            <w:vMerge w:val="continue"/>
          </w:tcPr>
          <w:p/>
        </w:tc>
        <w:tc>
          <w:tcPr>
            <w:vMerge w:val="continue"/>
          </w:tcPr>
          <w:p/>
        </w:tc>
        <w:tc>
          <w:tcPr>
            <w:tcW w:w="3912" w:type="dxa"/>
          </w:tcPr>
          <w:p>
            <w:pPr>
              <w:pStyle w:val="0"/>
            </w:pPr>
            <w:r>
              <w:rPr>
                <w:sz w:val="20"/>
              </w:rPr>
              <w:t xml:space="preserve">1-3 проекта - 10 баллов</w:t>
            </w:r>
          </w:p>
        </w:tc>
      </w:tr>
      <w:tr>
        <w:tc>
          <w:tcPr>
            <w:vMerge w:val="continue"/>
          </w:tcPr>
          <w:p/>
        </w:tc>
        <w:tc>
          <w:tcPr>
            <w:vMerge w:val="continue"/>
          </w:tcPr>
          <w:p/>
        </w:tc>
        <w:tc>
          <w:tcPr>
            <w:tcW w:w="3912" w:type="dxa"/>
          </w:tcPr>
          <w:p>
            <w:pPr>
              <w:pStyle w:val="0"/>
            </w:pPr>
            <w:r>
              <w:rPr>
                <w:sz w:val="20"/>
              </w:rPr>
              <w:t xml:space="preserve">0 проектов - 0 баллов</w:t>
            </w:r>
          </w:p>
        </w:tc>
      </w:tr>
      <w:tr>
        <w:tc>
          <w:tcPr>
            <w:tcW w:w="510" w:type="dxa"/>
            <w:vMerge w:val="restart"/>
          </w:tcPr>
          <w:p>
            <w:pPr>
              <w:pStyle w:val="0"/>
              <w:jc w:val="center"/>
            </w:pPr>
            <w:r>
              <w:rPr>
                <w:sz w:val="20"/>
              </w:rPr>
              <w:t xml:space="preserve">6</w:t>
            </w:r>
          </w:p>
        </w:tc>
        <w:tc>
          <w:tcPr>
            <w:tcW w:w="4649" w:type="dxa"/>
            <w:vMerge w:val="restart"/>
          </w:tcPr>
          <w:p>
            <w:pPr>
              <w:pStyle w:val="0"/>
            </w:pPr>
            <w:r>
              <w:rPr>
                <w:sz w:val="20"/>
              </w:rPr>
              <w:t xml:space="preserve">Количество участников, вовлеченных в реализованные проекты в сфере детско-юношеского туризма</w:t>
            </w:r>
          </w:p>
        </w:tc>
        <w:tc>
          <w:tcPr>
            <w:tcW w:w="3912" w:type="dxa"/>
          </w:tcPr>
          <w:p>
            <w:pPr>
              <w:pStyle w:val="0"/>
            </w:pPr>
            <w:r>
              <w:rPr>
                <w:sz w:val="20"/>
              </w:rPr>
              <w:t xml:space="preserve">Более 40000 чел. - 10 баллов</w:t>
            </w:r>
          </w:p>
        </w:tc>
      </w:tr>
      <w:tr>
        <w:tc>
          <w:tcPr>
            <w:vMerge w:val="continue"/>
          </w:tcPr>
          <w:p/>
        </w:tc>
        <w:tc>
          <w:tcPr>
            <w:vMerge w:val="continue"/>
          </w:tcPr>
          <w:p/>
        </w:tc>
        <w:tc>
          <w:tcPr>
            <w:tcW w:w="3912" w:type="dxa"/>
          </w:tcPr>
          <w:p>
            <w:pPr>
              <w:pStyle w:val="0"/>
            </w:pPr>
            <w:r>
              <w:rPr>
                <w:sz w:val="20"/>
              </w:rPr>
              <w:t xml:space="preserve">10000 - 40000 чел. - 5 баллов</w:t>
            </w:r>
          </w:p>
        </w:tc>
      </w:tr>
      <w:tr>
        <w:tc>
          <w:tcPr>
            <w:vMerge w:val="continue"/>
          </w:tcPr>
          <w:p/>
        </w:tc>
        <w:tc>
          <w:tcPr>
            <w:vMerge w:val="continue"/>
          </w:tcPr>
          <w:p/>
        </w:tc>
        <w:tc>
          <w:tcPr>
            <w:tcW w:w="3912" w:type="dxa"/>
          </w:tcPr>
          <w:p>
            <w:pPr>
              <w:pStyle w:val="0"/>
            </w:pPr>
            <w:r>
              <w:rPr>
                <w:sz w:val="20"/>
              </w:rPr>
              <w:t xml:space="preserve">менее 10000 чел. - 0 баллов</w:t>
            </w:r>
          </w:p>
        </w:tc>
      </w:tr>
      <w:tr>
        <w:tc>
          <w:tcPr>
            <w:tcW w:w="510" w:type="dxa"/>
            <w:vMerge w:val="restart"/>
          </w:tcPr>
          <w:p>
            <w:pPr>
              <w:pStyle w:val="0"/>
              <w:jc w:val="center"/>
            </w:pPr>
            <w:r>
              <w:rPr>
                <w:sz w:val="20"/>
              </w:rPr>
              <w:t xml:space="preserve">7</w:t>
            </w:r>
          </w:p>
        </w:tc>
        <w:tc>
          <w:tcPr>
            <w:tcW w:w="4649" w:type="dxa"/>
            <w:vMerge w:val="restart"/>
          </w:tcPr>
          <w:p>
            <w:pPr>
              <w:pStyle w:val="0"/>
            </w:pPr>
            <w:r>
              <w:rPr>
                <w:sz w:val="20"/>
              </w:rPr>
              <w:t xml:space="preserve">Количество субъектов Российской Федерации, на территории которых реализованы проекты в сфере детско-юношеского туризма</w:t>
            </w:r>
          </w:p>
        </w:tc>
        <w:tc>
          <w:tcPr>
            <w:tcW w:w="3912" w:type="dxa"/>
          </w:tcPr>
          <w:p>
            <w:pPr>
              <w:pStyle w:val="0"/>
            </w:pPr>
            <w:r>
              <w:rPr>
                <w:sz w:val="20"/>
              </w:rPr>
              <w:t xml:space="preserve">40 и более субъектов Российской Федерации - 5 баллов</w:t>
            </w:r>
          </w:p>
        </w:tc>
      </w:tr>
      <w:tr>
        <w:tc>
          <w:tcPr>
            <w:vMerge w:val="continue"/>
          </w:tcPr>
          <w:p/>
        </w:tc>
        <w:tc>
          <w:tcPr>
            <w:vMerge w:val="continue"/>
          </w:tcPr>
          <w:p/>
        </w:tc>
        <w:tc>
          <w:tcPr>
            <w:tcW w:w="3912" w:type="dxa"/>
          </w:tcPr>
          <w:p>
            <w:pPr>
              <w:pStyle w:val="0"/>
            </w:pPr>
            <w:r>
              <w:rPr>
                <w:sz w:val="20"/>
              </w:rPr>
              <w:t xml:space="preserve">1-39 субъектов Российской Федерации - 3 балла</w:t>
            </w:r>
          </w:p>
        </w:tc>
      </w:tr>
      <w:tr>
        <w:tc>
          <w:tcPr>
            <w:vMerge w:val="continue"/>
          </w:tcPr>
          <w:p/>
        </w:tc>
        <w:tc>
          <w:tcPr>
            <w:vMerge w:val="continue"/>
          </w:tcPr>
          <w:p/>
        </w:tc>
        <w:tc>
          <w:tcPr>
            <w:tcW w:w="3912" w:type="dxa"/>
          </w:tcPr>
          <w:p>
            <w:pPr>
              <w:pStyle w:val="0"/>
            </w:pPr>
            <w:r>
              <w:rPr>
                <w:sz w:val="20"/>
              </w:rPr>
              <w:t xml:space="preserve">0 субъектов Российской Федерации - 0 баллов</w:t>
            </w:r>
          </w:p>
        </w:tc>
      </w:tr>
    </w:tbl>
    <w:p>
      <w:pPr>
        <w:pStyle w:val="0"/>
      </w:pPr>
      <w:r>
        <w:rPr>
          <w:sz w:val="20"/>
        </w:rPr>
      </w:r>
    </w:p>
    <w:bookmarkStart w:id="1857" w:name="P1857"/>
    <w:bookmarkEnd w:id="1857"/>
    <w:p>
      <w:pPr>
        <w:pStyle w:val="0"/>
        <w:ind w:firstLine="540"/>
        <w:jc w:val="both"/>
      </w:pPr>
      <w:r>
        <w:rPr>
          <w:sz w:val="20"/>
        </w:rPr>
        <w:t xml:space="preserve">2.11. Основаниями для отклонения заявки участника конкурсного отбора на стадии рассмотрения и оценки заявок являются:</w:t>
      </w:r>
    </w:p>
    <w:p>
      <w:pPr>
        <w:pStyle w:val="0"/>
        <w:spacing w:before="200" w:line-rule="auto"/>
        <w:ind w:firstLine="540"/>
        <w:jc w:val="both"/>
      </w:pPr>
      <w:r>
        <w:rPr>
          <w:sz w:val="20"/>
        </w:rPr>
        <w:t xml:space="preserve">а) несоответствие участника конкурсного отбора условиям и требованиям </w:t>
      </w:r>
      <w:hyperlink w:history="0" w:anchor="P1745" w:tooltip="2.1. Субсидии предоставляются при соблюдении следующих условий:">
        <w:r>
          <w:rPr>
            <w:sz w:val="20"/>
            <w:color w:val="0000ff"/>
          </w:rPr>
          <w:t xml:space="preserve">пункта 2.1</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участником конкурсного отбора документов требованиям, установленным </w:t>
      </w:r>
      <w:hyperlink w:history="0" w:anchor="P1788"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конкурсного отбора заявки после даты и(или) времени, определенных в соответствии с </w:t>
      </w:r>
      <w:hyperlink w:history="0" w:anchor="P1772" w:tooltip="2.4.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quot;Интернет&quot; не поздне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 Объявление о проведении конкурсного отбора содержит следующую информацию:">
        <w:r>
          <w:rPr>
            <w:sz w:val="20"/>
            <w:color w:val="0000ff"/>
          </w:rPr>
          <w:t xml:space="preserve">пунктом 2.4</w:t>
        </w:r>
      </w:hyperlink>
      <w:r>
        <w:rPr>
          <w:sz w:val="20"/>
        </w:rPr>
        <w:t xml:space="preserve"> настоящего Порядка.</w:t>
      </w:r>
    </w:p>
    <w:bookmarkStart w:id="1862" w:name="P1862"/>
    <w:bookmarkEnd w:id="1862"/>
    <w:p>
      <w:pPr>
        <w:pStyle w:val="0"/>
        <w:spacing w:before="200" w:line-rule="auto"/>
        <w:ind w:firstLine="540"/>
        <w:jc w:val="both"/>
      </w:pPr>
      <w:r>
        <w:rPr>
          <w:sz w:val="20"/>
        </w:rPr>
        <w:t xml:space="preserve">2.12.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требованиям, указанным в </w:t>
      </w:r>
      <w:hyperlink w:history="0" w:anchor="P1747" w:tooltip="2) соответствие участника конкурсного отбора на дату подачи заявки следующим требованиям:">
        <w:r>
          <w:rPr>
            <w:sz w:val="20"/>
            <w:color w:val="0000ff"/>
          </w:rPr>
          <w:t xml:space="preserve">подпункте 2 пункта 2.1</w:t>
        </w:r>
      </w:hyperlink>
      <w:r>
        <w:rPr>
          <w:sz w:val="20"/>
        </w:rPr>
        <w:t xml:space="preserve"> настоящего Порядка;</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2.13. Победителем конкурсного отбора признается участник конкурсного отбора, набравший в сумме наибольшее количество баллов.</w:t>
      </w:r>
    </w:p>
    <w:p>
      <w:pPr>
        <w:pStyle w:val="0"/>
        <w:spacing w:before="200" w:line-rule="auto"/>
        <w:ind w:firstLine="540"/>
        <w:jc w:val="both"/>
      </w:pPr>
      <w:r>
        <w:rPr>
          <w:sz w:val="20"/>
        </w:rPr>
        <w:t xml:space="preserve">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pPr>
        <w:pStyle w:val="0"/>
        <w:spacing w:before="200" w:line-rule="auto"/>
        <w:ind w:firstLine="540"/>
        <w:jc w:val="both"/>
      </w:pPr>
      <w:r>
        <w:rPr>
          <w:sz w:val="20"/>
        </w:rPr>
        <w:t xml:space="preserve">2.14.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 даты его подписания.</w:t>
      </w:r>
    </w:p>
    <w:p>
      <w:pPr>
        <w:pStyle w:val="0"/>
        <w:spacing w:before="200" w:line-rule="auto"/>
        <w:ind w:firstLine="540"/>
        <w:jc w:val="both"/>
      </w:pPr>
      <w:r>
        <w:rPr>
          <w:sz w:val="20"/>
        </w:rPr>
        <w:t xml:space="preserve">2.15. Решение о предоставлении субсидии или об отказе в предоставлении субсидии и размере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pPr>
        <w:pStyle w:val="0"/>
        <w:spacing w:before="200" w:line-rule="auto"/>
        <w:ind w:firstLine="540"/>
        <w:jc w:val="both"/>
      </w:pPr>
      <w:r>
        <w:rPr>
          <w:sz w:val="20"/>
        </w:rPr>
        <w:t xml:space="preserve">Комитет в срок не позднее трех рабочих дней с даты издания распоряжения размещает на едином портале (при наличии технической возможности) и на официальном сайте комитета в информационно-телекоммуникационной сети "Интернет" информацию о результатах конкурсного отбора, включающую:</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дату, время и место оценки заявок участников конкурсного отбора;</w:t>
      </w:r>
    </w:p>
    <w:p>
      <w:pPr>
        <w:pStyle w:val="0"/>
        <w:spacing w:before="200" w:line-rule="auto"/>
        <w:ind w:firstLine="540"/>
        <w:jc w:val="both"/>
      </w:pPr>
      <w:r>
        <w:rPr>
          <w:sz w:val="20"/>
        </w:rPr>
        <w:t xml:space="preserve">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2.16. В течение трех рабочих дней с даты принятия распоряжения комитет посредством электронной почты уведомляет получателя субсидии о необходимости заключения соглашения.</w:t>
      </w:r>
    </w:p>
    <w:p>
      <w:pPr>
        <w:pStyle w:val="0"/>
        <w:spacing w:before="200" w:line-rule="auto"/>
        <w:ind w:firstLine="540"/>
        <w:jc w:val="both"/>
      </w:pPr>
      <w:r>
        <w:rPr>
          <w:sz w:val="20"/>
        </w:rPr>
        <w:t xml:space="preserve">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pPr>
        <w:pStyle w:val="0"/>
        <w:spacing w:before="200" w:line-rule="auto"/>
        <w:ind w:firstLine="540"/>
        <w:jc w:val="both"/>
      </w:pPr>
      <w:r>
        <w:rPr>
          <w:sz w:val="20"/>
        </w:rPr>
        <w:t xml:space="preserve">2.17. Конкурсный отбор признается несостоявшимся в случае, если по истечении срока представления заявок на участие в конкурсном отборе не представлено ни одной заявки или все заявки отозваны. Комитет издает распоряжение о признании конкурсного отбора несостоявшимся и размещает указанное распоряжение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трех рабочих дней с даты окончания приема заявок.</w:t>
      </w:r>
    </w:p>
    <w:p>
      <w:pPr>
        <w:pStyle w:val="0"/>
        <w:spacing w:before="200" w:line-rule="auto"/>
        <w:ind w:firstLine="540"/>
        <w:jc w:val="both"/>
      </w:pPr>
      <w:r>
        <w:rPr>
          <w:sz w:val="20"/>
        </w:rPr>
        <w:t xml:space="preserve">2.18. При наличии единственной заявки на конкурсном отборе и объема не распределенных на момент проведения заседания комиссии средств комитет принимает решение о предоставлении субсидии единственному участнику конкурсного отбора, соответствующему условиям и критериям конкурсного отбора.</w:t>
      </w:r>
    </w:p>
    <w:p>
      <w:pPr>
        <w:pStyle w:val="0"/>
        <w:spacing w:before="200" w:line-rule="auto"/>
        <w:ind w:firstLine="540"/>
        <w:jc w:val="both"/>
      </w:pPr>
      <w:r>
        <w:rPr>
          <w:sz w:val="20"/>
        </w:rPr>
        <w:t xml:space="preserve">2.19. Размер субсидии определяется исходя из сметы планируемых расходов на реализацию проекта, в пределах бюджетных ассигнований, утвержденных комитету на реализацию проекта в сводной бюджетной росписи областного бюджета Ленинградской области на соответствующий финансовый год.</w:t>
      </w:r>
    </w:p>
    <w:p>
      <w:pPr>
        <w:pStyle w:val="0"/>
        <w:spacing w:before="200" w:line-rule="auto"/>
        <w:ind w:firstLine="540"/>
        <w:jc w:val="both"/>
      </w:pPr>
      <w:r>
        <w:rPr>
          <w:sz w:val="20"/>
        </w:rPr>
        <w:t xml:space="preserve">2.20. Соглашение с победителем конкурсного отбора заключается не позднее 10 рабочих дней с даты издания распоряжения. В случае отказа получателя субсидии от заключения соглашения, наличия нераспределенного остатка средств и(или) увеличения бюджетных ассигнований комитет проводит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pPr>
        <w:pStyle w:val="0"/>
        <w:jc w:val="both"/>
      </w:pPr>
      <w:r>
        <w:rPr>
          <w:sz w:val="20"/>
        </w:rPr>
        <w:t xml:space="preserve">(п. 2.20 в ред. </w:t>
      </w:r>
      <w:hyperlink w:history="0" r:id="rId117"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27.03.2023 N 197)</w:t>
      </w:r>
    </w:p>
    <w:p>
      <w:pPr>
        <w:pStyle w:val="0"/>
        <w:spacing w:before="200" w:line-rule="auto"/>
        <w:ind w:firstLine="540"/>
        <w:jc w:val="both"/>
      </w:pPr>
      <w:r>
        <w:rPr>
          <w:sz w:val="20"/>
        </w:rPr>
        <w:t xml:space="preserve">2.21.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history="0" w:anchor="P1727" w:tooltip="1.3. Субсидия предоставляется в целях повышения привлекательности и развития туристического потенциала Ленинградской области.">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bookmarkStart w:id="1884" w:name="P1884"/>
    <w:bookmarkEnd w:id="1884"/>
    <w:p>
      <w:pPr>
        <w:pStyle w:val="0"/>
        <w:spacing w:before="200" w:line-rule="auto"/>
        <w:ind w:firstLine="540"/>
        <w:jc w:val="both"/>
      </w:pPr>
      <w:r>
        <w:rPr>
          <w:sz w:val="20"/>
        </w:rPr>
        <w:t xml:space="preserve">2.22. Планируемым результатом предоставления субсидии являются реализованные мероприятия проекта.</w:t>
      </w:r>
    </w:p>
    <w:p>
      <w:pPr>
        <w:pStyle w:val="0"/>
        <w:jc w:val="both"/>
      </w:pPr>
      <w:r>
        <w:rPr>
          <w:sz w:val="20"/>
        </w:rPr>
        <w:t xml:space="preserve">(п. 2.22 в ред. </w:t>
      </w:r>
      <w:hyperlink w:history="0" r:id="rId118"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bookmarkStart w:id="1886" w:name="P1886"/>
    <w:bookmarkEnd w:id="1886"/>
    <w:p>
      <w:pPr>
        <w:pStyle w:val="0"/>
        <w:spacing w:before="200" w:line-rule="auto"/>
        <w:ind w:firstLine="540"/>
        <w:jc w:val="both"/>
      </w:pPr>
      <w:r>
        <w:rPr>
          <w:sz w:val="20"/>
        </w:rPr>
        <w:t xml:space="preserve">2.23. Показателем, необходимым для достижения результата предоставления субсидии, является количество школьников и учащихся, охваченных экскурсионными поездками по туристским маршрутам в рамках проекта.</w:t>
      </w:r>
    </w:p>
    <w:p>
      <w:pPr>
        <w:pStyle w:val="0"/>
        <w:spacing w:before="200" w:line-rule="auto"/>
        <w:ind w:firstLine="540"/>
        <w:jc w:val="both"/>
      </w:pPr>
      <w:r>
        <w:rPr>
          <w:sz w:val="20"/>
        </w:rPr>
        <w:t xml:space="preserve">Значение показателя устанавливается комитетом в соглашении.</w:t>
      </w:r>
    </w:p>
    <w:p>
      <w:pPr>
        <w:pStyle w:val="0"/>
        <w:spacing w:before="200" w:line-rule="auto"/>
        <w:ind w:firstLine="540"/>
        <w:jc w:val="both"/>
      </w:pPr>
      <w:r>
        <w:rPr>
          <w:sz w:val="20"/>
        </w:rPr>
        <w:t xml:space="preserve">2.24. Формирование заявки на перечисление субсидии осуществляется комитетом в течение 10 рабочих дней, следующих за датой заключения соглашения.</w:t>
      </w:r>
    </w:p>
    <w:p>
      <w:pPr>
        <w:pStyle w:val="0"/>
        <w:spacing w:before="200" w:line-rule="auto"/>
        <w:ind w:firstLine="540"/>
        <w:jc w:val="both"/>
      </w:pPr>
      <w:r>
        <w:rPr>
          <w:sz w:val="20"/>
        </w:rPr>
        <w:t xml:space="preserve">2.25. Перечисление субсидии осуществляется Комитетом финансов Ленинградской области на основании заявки на расход, представленной комитетом, на:</w:t>
      </w:r>
    </w:p>
    <w:p>
      <w:pPr>
        <w:pStyle w:val="0"/>
        <w:spacing w:before="200" w:line-rule="auto"/>
        <w:ind w:firstLine="540"/>
        <w:jc w:val="both"/>
      </w:pPr>
      <w:r>
        <w:rPr>
          <w:sz w:val="20"/>
        </w:rPr>
        <w:t xml:space="preserve">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случае если средства не подлежат казначейскому сопровождению в соответствии с бюджетным законодательством Российской Федерации и Ленинградской области;</w:t>
      </w:r>
    </w:p>
    <w:p>
      <w:pPr>
        <w:pStyle w:val="0"/>
        <w:spacing w:before="200" w:line-rule="auto"/>
        <w:ind w:firstLine="540"/>
        <w:jc w:val="both"/>
      </w:pPr>
      <w:r>
        <w:rPr>
          <w:sz w:val="20"/>
        </w:rPr>
        <w:t xml:space="preserve">лицевые счета, открытые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 в случае если средства подлежат казначейскому сопровождению в соответствии с бюджетным законодательством.</w:t>
      </w:r>
    </w:p>
    <w:p>
      <w:pPr>
        <w:pStyle w:val="0"/>
        <w:spacing w:before="200" w:line-rule="auto"/>
        <w:ind w:firstLine="540"/>
        <w:jc w:val="both"/>
      </w:pPr>
      <w:r>
        <w:rPr>
          <w:sz w:val="20"/>
        </w:rPr>
        <w:t xml:space="preserve">В случае если средства субсидий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jc w:val="both"/>
      </w:pPr>
      <w:r>
        <w:rPr>
          <w:sz w:val="20"/>
        </w:rPr>
        <w:t xml:space="preserve">(п. 2.25 в ред. </w:t>
      </w:r>
      <w:hyperlink w:history="0" r:id="rId119" w:tooltip="Постановление Правительства Ленинградской области от 27.03.2023 N 197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27.03.2023 N 197)</w:t>
      </w:r>
    </w:p>
    <w:p>
      <w:pPr>
        <w:pStyle w:val="0"/>
        <w:ind w:firstLine="540"/>
        <w:jc w:val="both"/>
      </w:pPr>
      <w:r>
        <w:rPr>
          <w:sz w:val="20"/>
        </w:rPr>
      </w:r>
    </w:p>
    <w:p>
      <w:pPr>
        <w:pStyle w:val="2"/>
        <w:outlineLvl w:val="2"/>
        <w:jc w:val="center"/>
      </w:pPr>
      <w:r>
        <w:rPr>
          <w:sz w:val="20"/>
        </w:rPr>
        <w:t xml:space="preserve">3. Требования к отчетности</w:t>
      </w:r>
    </w:p>
    <w:p>
      <w:pPr>
        <w:pStyle w:val="0"/>
        <w:jc w:val="center"/>
      </w:pPr>
      <w:r>
        <w:rPr>
          <w:sz w:val="20"/>
        </w:rPr>
      </w:r>
    </w:p>
    <w:p>
      <w:pPr>
        <w:pStyle w:val="0"/>
        <w:ind w:firstLine="540"/>
        <w:jc w:val="both"/>
      </w:pPr>
      <w:r>
        <w:rPr>
          <w:sz w:val="20"/>
        </w:rPr>
        <w:t xml:space="preserve">3.1. Получатель субсидии ежеквартально не позднее 5-го рабочего дня месяца, следующего за отчетным периодом, представляет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history="0" w:anchor="P1884" w:tooltip="2.22. Планируемым результатом предоставления субсидии являются реализованные мероприятия проекта.">
        <w:r>
          <w:rPr>
            <w:sz w:val="20"/>
            <w:color w:val="0000ff"/>
          </w:rPr>
          <w:t xml:space="preserve">пунктами 2.22</w:t>
        </w:r>
      </w:hyperlink>
      <w:r>
        <w:rPr>
          <w:sz w:val="20"/>
        </w:rPr>
        <w:t xml:space="preserve"> и </w:t>
      </w:r>
      <w:hyperlink w:history="0" w:anchor="P1886" w:tooltip="2.23. Показателем, необходимым для достижения результата предоставления субсидии, является количество школьников и учащихся, охваченных экскурсионными поездками по туристским маршрутам в рамках проекта.">
        <w:r>
          <w:rPr>
            <w:sz w:val="20"/>
            <w:color w:val="0000ff"/>
          </w:rPr>
          <w:t xml:space="preserve">2.23</w:t>
        </w:r>
      </w:hyperlink>
      <w:r>
        <w:rPr>
          <w:sz w:val="20"/>
        </w:rP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
    <w:p>
      <w:pPr>
        <w:pStyle w:val="0"/>
        <w:spacing w:before="200" w:line-rule="auto"/>
        <w:ind w:firstLine="540"/>
        <w:jc w:val="both"/>
      </w:pPr>
      <w:r>
        <w:rPr>
          <w:sz w:val="20"/>
        </w:rPr>
        <w:t xml:space="preserve">3.2. Сроки предоставления и формы дополнительной отчетности устанавливаются в соглашении.</w:t>
      </w:r>
    </w:p>
    <w:p>
      <w:pPr>
        <w:pStyle w:val="0"/>
        <w:jc w:val="center"/>
      </w:pPr>
      <w:r>
        <w:rPr>
          <w:sz w:val="20"/>
        </w:rPr>
      </w:r>
    </w:p>
    <w:p>
      <w:pPr>
        <w:pStyle w:val="2"/>
        <w:outlineLvl w:val="2"/>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120"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30.12.2022 N 1013)</w:t>
      </w:r>
    </w:p>
    <w:p>
      <w:pPr>
        <w:pStyle w:val="0"/>
        <w:jc w:val="center"/>
      </w:pPr>
      <w:r>
        <w:rPr>
          <w:sz w:val="20"/>
        </w:rPr>
      </w:r>
    </w:p>
    <w:p>
      <w:pPr>
        <w:pStyle w:val="0"/>
        <w:ind w:firstLine="540"/>
        <w:jc w:val="both"/>
      </w:pPr>
      <w:r>
        <w:rPr>
          <w:sz w:val="20"/>
        </w:rPr>
        <w:t xml:space="preserve">4.1.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органами государственного финансового контроля Ленинградской области осуществляется проверка в соответствии со </w:t>
      </w:r>
      <w:hyperlink w:history="0" r:id="rId12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2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4.1 в ред. </w:t>
      </w:r>
      <w:hyperlink w:history="0" r:id="rId123"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bookmarkStart w:id="1908" w:name="P1908"/>
    <w:bookmarkEnd w:id="1908"/>
    <w:p>
      <w:pPr>
        <w:pStyle w:val="0"/>
        <w:spacing w:before="200" w:line-rule="auto"/>
        <w:ind w:firstLine="540"/>
        <w:jc w:val="both"/>
      </w:pPr>
      <w:r>
        <w:rPr>
          <w:sz w:val="20"/>
        </w:rPr>
        <w:t xml:space="preserve">4.2.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субсидий порядка и условий предоставления субсидий, а также недостижения результата предоставления субсидии и показателей, установленных </w:t>
      </w:r>
      <w:hyperlink w:history="0" w:anchor="P1884" w:tooltip="2.22. Планируемым результатом предоставления субсидии являются реализованные мероприятия проекта.">
        <w:r>
          <w:rPr>
            <w:sz w:val="20"/>
            <w:color w:val="0000ff"/>
          </w:rPr>
          <w:t xml:space="preserve">пунктами 2.22</w:t>
        </w:r>
      </w:hyperlink>
      <w:r>
        <w:rPr>
          <w:sz w:val="20"/>
        </w:rPr>
        <w:t xml:space="preserve"> и </w:t>
      </w:r>
      <w:hyperlink w:history="0" w:anchor="P1886" w:tooltip="2.23. Показателем, необходимым для достижения результата предоставления субсидии, является количество школьников и учащихся, охваченных экскурсионными поездками по туристским маршрутам в рамках проекта.">
        <w:r>
          <w:rPr>
            <w:sz w:val="20"/>
            <w:color w:val="0000ff"/>
          </w:rPr>
          <w:t xml:space="preserve">2.23</w:t>
        </w:r>
      </w:hyperlink>
      <w:r>
        <w:rPr>
          <w:sz w:val="20"/>
        </w:rPr>
        <w:t xml:space="preserve"> настоящего Порядка, соответствующие средства субсидии подлежат возврату в доход областного бюджета Ленинградской области:</w:t>
      </w:r>
    </w:p>
    <w:p>
      <w:pPr>
        <w:pStyle w:val="0"/>
        <w:spacing w:before="200" w:line-rule="auto"/>
        <w:ind w:firstLine="540"/>
        <w:jc w:val="both"/>
      </w:pPr>
      <w:r>
        <w:rPr>
          <w:sz w:val="20"/>
        </w:rPr>
        <w:t xml:space="preserve">а) на основании письменного требования комитета - в течение 10 рабочих дней с даты получения получателем субсидии указанного требования;</w:t>
      </w:r>
    </w:p>
    <w:p>
      <w:pPr>
        <w:pStyle w:val="0"/>
        <w:spacing w:before="200" w:line-rule="auto"/>
        <w:ind w:firstLine="540"/>
        <w:jc w:val="both"/>
      </w:pPr>
      <w:r>
        <w:rPr>
          <w:sz w:val="20"/>
        </w:rPr>
        <w:t xml:space="preserve">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pPr>
        <w:pStyle w:val="0"/>
        <w:jc w:val="both"/>
      </w:pPr>
      <w:r>
        <w:rPr>
          <w:sz w:val="20"/>
        </w:rPr>
        <w:t xml:space="preserve">(п. 4.2 в ред. </w:t>
      </w:r>
      <w:hyperlink w:history="0" r:id="rId124"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1013)</w:t>
      </w:r>
    </w:p>
    <w:p>
      <w:pPr>
        <w:pStyle w:val="0"/>
        <w:spacing w:before="200" w:line-rule="auto"/>
        <w:ind w:firstLine="540"/>
        <w:jc w:val="both"/>
      </w:pPr>
      <w:r>
        <w:rPr>
          <w:sz w:val="20"/>
        </w:rPr>
        <w:t xml:space="preserve">4.3. В случае неперечисления получателем субсидии средств субсидии в областной бюджет Ленинградской области в сроки, установленные </w:t>
      </w:r>
      <w:hyperlink w:history="0" w:anchor="P1908" w:tooltip="4.2.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й порядка и условий предоставления субсидий, а также недостижения результата предоставления субсидии и показателей, установленных пунктами 2.22 и 2.23 настоящего Порядка, соответствующие средства субсидии подлежат возврату в доход областного бюджета Ленинградской области:">
        <w:r>
          <w:rPr>
            <w:sz w:val="20"/>
            <w:color w:val="0000ff"/>
          </w:rPr>
          <w:t xml:space="preserve">пунктом 4.2</w:t>
        </w:r>
      </w:hyperlink>
      <w:r>
        <w:rPr>
          <w:sz w:val="20"/>
        </w:rPr>
        <w:t xml:space="preserve"> настоящего Порядка, взыскание денежных средств осуществляется в судебном порядке.</w:t>
      </w:r>
    </w:p>
    <w:p>
      <w:pPr>
        <w:pStyle w:val="0"/>
        <w:spacing w:before="200" w:line-rule="auto"/>
        <w:ind w:firstLine="540"/>
        <w:jc w:val="both"/>
      </w:pPr>
      <w:r>
        <w:rPr>
          <w:sz w:val="20"/>
        </w:rPr>
        <w:t xml:space="preserve">4.4. Субсидии, не использованные в текущем финансовом году, подлежат возврату в областной бюджет Ленинградской области.</w:t>
      </w:r>
    </w:p>
    <w:p>
      <w:pPr>
        <w:pStyle w:val="0"/>
        <w:spacing w:before="200" w:line-rule="auto"/>
        <w:ind w:firstLine="540"/>
        <w:jc w:val="both"/>
      </w:pPr>
      <w:r>
        <w:rPr>
          <w:sz w:val="20"/>
        </w:rPr>
        <w:t xml:space="preserve">4.5.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jc w:val="both"/>
      </w:pPr>
      <w:r>
        <w:rPr>
          <w:sz w:val="20"/>
        </w:rPr>
        <w:t xml:space="preserve">(п. 4.5 введен </w:t>
      </w:r>
      <w:hyperlink w:history="0" r:id="rId125" w:tooltip="Постановление Правительства Ленинградской области от 30.12.2022 N 1013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30.12.2022 N 1013)</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center"/>
      </w:pPr>
      <w:r>
        <w:rPr>
          <w:sz w:val="20"/>
        </w:rPr>
      </w:r>
    </w:p>
    <w:bookmarkStart w:id="1924" w:name="P1924"/>
    <w:bookmarkEnd w:id="1924"/>
    <w:p>
      <w:pPr>
        <w:pStyle w:val="2"/>
        <w:jc w:val="center"/>
      </w:pPr>
      <w:r>
        <w:rPr>
          <w:sz w:val="20"/>
        </w:rPr>
        <w:t xml:space="preserve">ПОРЯДОК</w:t>
      </w:r>
    </w:p>
    <w:p>
      <w:pPr>
        <w:pStyle w:val="2"/>
        <w:jc w:val="center"/>
      </w:pPr>
      <w:r>
        <w:rPr>
          <w:sz w:val="20"/>
        </w:rPr>
        <w:t xml:space="preserve">ОПРЕДЕЛЕНИЯ ОБЪЕМА И ПРЕДОСТАВЛЕНИЯ ИЗ ОБЛАСТНОГО БЮДЖЕТА</w:t>
      </w:r>
    </w:p>
    <w:p>
      <w:pPr>
        <w:pStyle w:val="2"/>
        <w:jc w:val="center"/>
      </w:pPr>
      <w:r>
        <w:rPr>
          <w:sz w:val="20"/>
        </w:rPr>
        <w:t xml:space="preserve">ЛЕНИНГРАДСКОЙ ОБЛАСТИ СУБСИДИЙ ЮРИДИЧЕСКИМ ЛИЦАМ,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И ИНДИВИДУАЛЬНЫМ ПРЕДПРИНИМАТЕЛЯМ В ЦЕЛЯХ</w:t>
      </w:r>
    </w:p>
    <w:p>
      <w:pPr>
        <w:pStyle w:val="2"/>
        <w:jc w:val="center"/>
      </w:pPr>
      <w:r>
        <w:rPr>
          <w:sz w:val="20"/>
        </w:rPr>
        <w:t xml:space="preserve">ОБЕСПЕЧЕНИЯ ПОДДЕРЖКИ РЕАЛИЗАЦИИ ОБЩЕСТВЕННЫХ ИНИЦИАТИВ,</w:t>
      </w:r>
    </w:p>
    <w:p>
      <w:pPr>
        <w:pStyle w:val="2"/>
        <w:jc w:val="center"/>
      </w:pPr>
      <w:r>
        <w:rPr>
          <w:sz w:val="20"/>
        </w:rPr>
        <w:t xml:space="preserve">НАПРАВЛЕННЫХ НА РАЗВИТИЕ ТУРИСТИЧЕСКОЙ ИНФРАСТРУКТУРЫ</w:t>
      </w:r>
    </w:p>
    <w:p>
      <w:pPr>
        <w:pStyle w:val="2"/>
        <w:jc w:val="center"/>
      </w:pPr>
      <w:r>
        <w:rPr>
          <w:sz w:val="20"/>
        </w:rPr>
        <w:t xml:space="preserve">НА ТЕРРИТОРИИ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26" w:tooltip="Постановление Правительства Ленинградской области от 21.06.2023 N 414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21.06.2023 N 414)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на обеспечение поддержки реализации общественных инициатив, направленных на развитие туристической инфраструктуры на территории Ленинградской области, в рамках структурного элемента "Федеральный (региональный) проект "Развитие туристической инфраструктуры" государственной программы Ленинградской области "Развитие внутреннего и въездного туризма в Ленинградской области" (далее - субсидии, проекты).</w:t>
      </w:r>
    </w:p>
    <w:p>
      <w:pPr>
        <w:pStyle w:val="0"/>
        <w:spacing w:before="200" w:line-rule="auto"/>
        <w:ind w:firstLine="540"/>
        <w:jc w:val="both"/>
      </w:pPr>
      <w:r>
        <w:rPr>
          <w:sz w:val="20"/>
        </w:rPr>
        <w:t xml:space="preserve">1.2. В настоящем Порядке применяются следующие основные понятия:</w:t>
      </w:r>
    </w:p>
    <w:p>
      <w:pPr>
        <w:pStyle w:val="0"/>
        <w:spacing w:before="200" w:line-rule="auto"/>
        <w:ind w:firstLine="540"/>
        <w:jc w:val="both"/>
      </w:pPr>
      <w:r>
        <w:rPr>
          <w:sz w:val="20"/>
        </w:rPr>
        <w:t xml:space="preserve">главный распорядитель бюджетных средств - комитет по культуре и туризму Ленинградской области (далее - комитет);</w:t>
      </w:r>
    </w:p>
    <w:p>
      <w:pPr>
        <w:pStyle w:val="0"/>
        <w:spacing w:before="200" w:line-rule="auto"/>
        <w:ind w:firstLine="540"/>
        <w:jc w:val="both"/>
      </w:pPr>
      <w:r>
        <w:rPr>
          <w:sz w:val="20"/>
        </w:rPr>
        <w:t xml:space="preserve">конкурсная комиссия - коллегиальный орган, образованный для проведения конкурсного отбора. Состав и положение о конкурсной комиссии утверждаются правовыми актами комитета;</w:t>
      </w:r>
    </w:p>
    <w:p>
      <w:pPr>
        <w:pStyle w:val="0"/>
        <w:spacing w:before="200" w:line-rule="auto"/>
        <w:ind w:firstLine="540"/>
        <w:jc w:val="both"/>
      </w:pPr>
      <w:r>
        <w:rPr>
          <w:sz w:val="20"/>
        </w:rPr>
        <w:t xml:space="preserve">пляж - участок побережья естественного или искусственного водоема (океана, моря, озера, водохранилища, реки, пруда) с прибрежными водами (акваторией), оборудованный и пригодный для организованного отдыха, купания и приема оздоровительных и профилактических процедур (Национальный стандарт Российской Федерации ГОСТ Р 55698-2013 "Туристские услуги. Услуги пляжей. Общие требования");</w:t>
      </w:r>
    </w:p>
    <w:p>
      <w:pPr>
        <w:pStyle w:val="0"/>
        <w:spacing w:before="200" w:line-rule="auto"/>
        <w:ind w:firstLine="540"/>
        <w:jc w:val="both"/>
      </w:pPr>
      <w:r>
        <w:rPr>
          <w:sz w:val="20"/>
        </w:rPr>
        <w:t xml:space="preserve">проект - комплекс взаимосвязанных мероприятий, направленных на развитие туристической инфраструктуры на территории Ленинградской области по одному из направлений, указанных в </w:t>
      </w:r>
      <w:hyperlink w:history="0" w:anchor="P1946" w:tooltip="1.3. Субсидии предоставляются на финансовое обеспечение поддержки общественных инициатив при реализации проектов, направленных на развитие туристической инфраструктуры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национальный туристский маршрут - туристский маршрут, имеющий особое значение для развития внутреннего туризма и въездного туризма и определяемый уполномоченным федеральным органом исполнительной власти в соответствии с порядком, установленным Правительством Российской Федерации (Федеральный </w:t>
      </w:r>
      <w:hyperlink w:history="0" r:id="rId127" w:tooltip="Федеральный закон от 20.04.2021 N 93-ФЗ (ред. от 13.06.2023) &quot;О внесении изменений в Федеральный закон &quot;Об основах туристской деятельности в Российской Федерации&quot; в части правового регулирования деятельности экскурсоводов (гидов), гидов-переводчиков и инструкторов-проводников&quot; {КонсультантПлюс}">
        <w:r>
          <w:rPr>
            <w:sz w:val="20"/>
            <w:color w:val="0000ff"/>
          </w:rPr>
          <w:t xml:space="preserve">закон</w:t>
        </w:r>
      </w:hyperlink>
      <w:r>
        <w:rPr>
          <w:sz w:val="20"/>
        </w:rPr>
        <w:t xml:space="preserve"> от 20 апреля 2021 года N 93-ФЗ).</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bookmarkStart w:id="1946" w:name="P1946"/>
    <w:bookmarkEnd w:id="1946"/>
    <w:p>
      <w:pPr>
        <w:pStyle w:val="0"/>
        <w:spacing w:before="200" w:line-rule="auto"/>
        <w:ind w:firstLine="540"/>
        <w:jc w:val="both"/>
      </w:pPr>
      <w:r>
        <w:rPr>
          <w:sz w:val="20"/>
        </w:rPr>
        <w:t xml:space="preserve">1.3. Субсидии предоставляются на финансовое обеспечение поддержки общественных инициатив при реализации проектов, направленных на развитие туристической инфраструктуры на территории Ленинградской области, по следующим направлениям:</w:t>
      </w:r>
    </w:p>
    <w:p>
      <w:pPr>
        <w:pStyle w:val="0"/>
        <w:spacing w:before="200" w:line-rule="auto"/>
        <w:ind w:firstLine="540"/>
        <w:jc w:val="both"/>
      </w:pPr>
      <w:r>
        <w:rPr>
          <w:sz w:val="20"/>
        </w:rPr>
        <w:t xml:space="preserve">а) создание и(или) развитие пляжей на берегах морей, рек, озер, водохранилищ или иных водных объектов, в том числе:</w:t>
      </w:r>
    </w:p>
    <w:p>
      <w:pPr>
        <w:pStyle w:val="0"/>
        <w:spacing w:before="200" w:line-rule="auto"/>
        <w:ind w:firstLine="540"/>
        <w:jc w:val="both"/>
      </w:pPr>
      <w:r>
        <w:rPr>
          <w:sz w:val="20"/>
        </w:rPr>
        <w:t xml:space="preserve">обустройство пляжа в соответствии с требованиями национального стандарта Российской Федерации ГОСТ Р 55698-2013 "Туристские услуги. Услуги пляжей. Общие требования", за исключением берегозащитных, противооползневых и других защитных мероприятий, а также мероприятий по очистке дна акватории;</w:t>
      </w:r>
    </w:p>
    <w:p>
      <w:pPr>
        <w:pStyle w:val="0"/>
        <w:spacing w:before="200" w:line-rule="auto"/>
        <w:ind w:firstLine="540"/>
        <w:jc w:val="both"/>
      </w:pPr>
      <w:r>
        <w:rPr>
          <w:sz w:val="20"/>
        </w:rPr>
        <w:t xml:space="preserve">приобретение оборудования, в том числе снаряжения, инвентаря, экипировки, товаров для отдыха, предназначенного для обеспечения туристской деятельности и расширения доступности для лиц с ограниченными возможностями здоровья;</w:t>
      </w:r>
    </w:p>
    <w:p>
      <w:pPr>
        <w:pStyle w:val="0"/>
        <w:spacing w:before="200" w:line-rule="auto"/>
        <w:ind w:firstLine="540"/>
        <w:jc w:val="both"/>
      </w:pPr>
      <w:r>
        <w:rPr>
          <w:sz w:val="20"/>
        </w:rPr>
        <w:t xml:space="preserve">обустройство детских и спортивных зон отдыха;</w:t>
      </w:r>
    </w:p>
    <w:p>
      <w:pPr>
        <w:pStyle w:val="0"/>
        <w:spacing w:before="200" w:line-rule="auto"/>
        <w:ind w:firstLine="540"/>
        <w:jc w:val="both"/>
      </w:pPr>
      <w:r>
        <w:rPr>
          <w:sz w:val="20"/>
        </w:rPr>
        <w:t xml:space="preserve">создание пунктов общественного питания (некапитальное строительство);</w:t>
      </w:r>
    </w:p>
    <w:p>
      <w:pPr>
        <w:pStyle w:val="0"/>
        <w:spacing w:before="200" w:line-rule="auto"/>
        <w:ind w:firstLine="540"/>
        <w:jc w:val="both"/>
      </w:pPr>
      <w:r>
        <w:rPr>
          <w:sz w:val="20"/>
        </w:rPr>
        <w:t xml:space="preserve">б) создание и(или) развитие национальных туристских маршрутов, определенных в соответствии с </w:t>
      </w:r>
      <w:hyperlink w:history="0" r:id="rId128" w:tooltip="Постановление Правительства РФ от 29.11.2021 N 2086 (ред. от 26.12.2022) &quot;Об утверждении Правил определения национальных туристских маршрутов&quot; {КонсультантПлюс}">
        <w:r>
          <w:rPr>
            <w:sz w:val="20"/>
            <w:color w:val="0000ff"/>
          </w:rPr>
          <w:t xml:space="preserve">Правилами</w:t>
        </w:r>
      </w:hyperlink>
      <w:r>
        <w:rPr>
          <w:sz w:val="20"/>
        </w:rPr>
        <w:t xml:space="preserve"> определения национальных туристских маршрутов, утвержденными постановлением Правительства Российской Федерации от 29 ноября 2021 года N 2086 "Об утверждении Правил определения национальных туристских маршрутов", в том числе:</w:t>
      </w:r>
    </w:p>
    <w:p>
      <w:pPr>
        <w:pStyle w:val="0"/>
        <w:spacing w:before="200" w:line-rule="auto"/>
        <w:ind w:firstLine="540"/>
        <w:jc w:val="both"/>
      </w:pPr>
      <w:r>
        <w:rPr>
          <w:sz w:val="20"/>
        </w:rPr>
        <w:t xml:space="preserve">обустройство и модернизация туристских ресурсов в составе национального туристского маршрута (некапитальное строительство), включая их адаптацию к потребностям лиц с ограниченными возможностями здоровья;</w:t>
      </w:r>
    </w:p>
    <w:p>
      <w:pPr>
        <w:pStyle w:val="0"/>
        <w:spacing w:before="200" w:line-rule="auto"/>
        <w:ind w:firstLine="540"/>
        <w:jc w:val="both"/>
      </w:pPr>
      <w:r>
        <w:rPr>
          <w:sz w:val="20"/>
        </w:rPr>
        <w:t xml:space="preserve">изготовление и установка элементов системы навигации национальных туристских маршрутов;</w:t>
      </w:r>
    </w:p>
    <w:p>
      <w:pPr>
        <w:pStyle w:val="0"/>
        <w:spacing w:before="200" w:line-rule="auto"/>
        <w:ind w:firstLine="540"/>
        <w:jc w:val="both"/>
      </w:pPr>
      <w:r>
        <w:rPr>
          <w:sz w:val="20"/>
        </w:rPr>
        <w:t xml:space="preserve">установка или обустройство туристских информационных центров (формы некапитального строительства);</w:t>
      </w:r>
    </w:p>
    <w:p>
      <w:pPr>
        <w:pStyle w:val="0"/>
        <w:spacing w:before="200" w:line-rule="auto"/>
        <w:ind w:firstLine="540"/>
        <w:jc w:val="both"/>
      </w:pPr>
      <w:r>
        <w:rPr>
          <w:sz w:val="20"/>
        </w:rPr>
        <w:t xml:space="preserve">приобретение и установка санитарных модулей.</w:t>
      </w:r>
    </w:p>
    <w:p>
      <w:pPr>
        <w:pStyle w:val="0"/>
        <w:spacing w:before="200" w:line-rule="auto"/>
        <w:ind w:firstLine="540"/>
        <w:jc w:val="both"/>
      </w:pPr>
      <w:r>
        <w:rPr>
          <w:sz w:val="20"/>
        </w:rPr>
        <w:t xml:space="preserve">1.4.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history="0" w:anchor="P1946" w:tooltip="1.3. Субсидии предоставляются на финансовое обеспечение поддержки общественных инициатив при реализации проектов, направленных на развитие туристической инфраструктуры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w:t>
      </w:r>
    </w:p>
    <w:bookmarkStart w:id="1958" w:name="P1958"/>
    <w:bookmarkEnd w:id="1958"/>
    <w:p>
      <w:pPr>
        <w:pStyle w:val="0"/>
        <w:spacing w:before="200" w:line-rule="auto"/>
        <w:ind w:firstLine="540"/>
        <w:jc w:val="both"/>
      </w:pPr>
      <w:r>
        <w:rPr>
          <w:sz w:val="20"/>
        </w:rPr>
        <w:t xml:space="preserve">1.5. Категория получателей субсидий - юридические лица, не являющиеся государственными (муниципальными) учреждениями, и индивидуальные предприниматели, зарегистрированные на территории Ленинградской области в порядке, установленном законодательством Российской Федерации, реализующие проекты, указанные в </w:t>
      </w:r>
      <w:hyperlink w:history="0" w:anchor="P1946" w:tooltip="1.3. Субсидии предоставляются на финансовое обеспечение поддержки общественных инициатив при реализации проектов, направленных на развитие туристической инфраструктуры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 (далее - участники конкурсного отбора, получатели субсидий).</w:t>
      </w:r>
    </w:p>
    <w:p>
      <w:pPr>
        <w:pStyle w:val="0"/>
        <w:spacing w:before="200" w:line-rule="auto"/>
        <w:ind w:firstLine="540"/>
        <w:jc w:val="both"/>
      </w:pPr>
      <w:r>
        <w:rPr>
          <w:sz w:val="20"/>
        </w:rPr>
        <w:t xml:space="preserve">1.6. Способом отбора получателей субсидии является конкурс (далее - конкурсный отбор).</w:t>
      </w:r>
    </w:p>
    <w:p>
      <w:pPr>
        <w:pStyle w:val="0"/>
        <w:spacing w:before="200" w:line-rule="auto"/>
        <w:ind w:firstLine="540"/>
        <w:jc w:val="both"/>
      </w:pPr>
      <w:r>
        <w:rPr>
          <w:sz w:val="20"/>
        </w:rPr>
        <w:t xml:space="preserve">1.7.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pPr>
        <w:pStyle w:val="0"/>
        <w:jc w:val="center"/>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r>
    </w:p>
    <w:bookmarkStart w:id="1964" w:name="P1964"/>
    <w:bookmarkEnd w:id="1964"/>
    <w:p>
      <w:pPr>
        <w:pStyle w:val="0"/>
        <w:ind w:firstLine="540"/>
        <w:jc w:val="both"/>
      </w:pPr>
      <w:r>
        <w:rPr>
          <w:sz w:val="20"/>
        </w:rPr>
        <w:t xml:space="preserve">2.1. Субсидии предоставляются при соблюдении следующих требований:</w:t>
      </w:r>
    </w:p>
    <w:p>
      <w:pPr>
        <w:pStyle w:val="0"/>
        <w:spacing w:before="200" w:line-rule="auto"/>
        <w:ind w:firstLine="540"/>
        <w:jc w:val="both"/>
      </w:pPr>
      <w:r>
        <w:rPr>
          <w:sz w:val="20"/>
        </w:rPr>
        <w:t xml:space="preserve">1) соответствие участника конкурсного отбора категории, установленной </w:t>
      </w:r>
      <w:hyperlink w:history="0" w:anchor="P1958" w:tooltip="1.5. Категория получателей субсидий - юридические лица, не являющиеся государственными (муниципальными) учреждениями, и индивидуальные предприниматели, зарегистрированные на территории Ленинградской области в порядке, установленном законодательством Российской Федерации, реализующие проекты, указанные в пункте 1.3 настоящего Порядка (далее - участники конкурсного отбора, получатели субсидий).">
        <w:r>
          <w:rPr>
            <w:sz w:val="20"/>
            <w:color w:val="0000ff"/>
          </w:rPr>
          <w:t xml:space="preserve">пунктом 1.5</w:t>
        </w:r>
      </w:hyperlink>
      <w:r>
        <w:rPr>
          <w:sz w:val="20"/>
        </w:rPr>
        <w:t xml:space="preserve"> настоящего Порядка;</w:t>
      </w:r>
    </w:p>
    <w:bookmarkStart w:id="1966" w:name="P1966"/>
    <w:bookmarkEnd w:id="1966"/>
    <w:p>
      <w:pPr>
        <w:pStyle w:val="0"/>
        <w:spacing w:before="200" w:line-rule="auto"/>
        <w:ind w:firstLine="540"/>
        <w:jc w:val="both"/>
      </w:pPr>
      <w:r>
        <w:rPr>
          <w:sz w:val="20"/>
        </w:rPr>
        <w:t xml:space="preserve">2) соответствие участника конкурсного отбора по состоянию на дату подачи заявки следующим требованиям:</w:t>
      </w:r>
    </w:p>
    <w:p>
      <w:pPr>
        <w:pStyle w:val="0"/>
        <w:spacing w:before="200" w:line-rule="auto"/>
        <w:ind w:firstLine="540"/>
        <w:jc w:val="both"/>
      </w:pPr>
      <w:r>
        <w:rPr>
          <w:sz w:val="20"/>
        </w:rPr>
        <w:t xml:space="preserve">а)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pPr>
        <w:pStyle w:val="0"/>
        <w:spacing w:before="200" w:line-rule="auto"/>
        <w:ind w:firstLine="540"/>
        <w:jc w:val="both"/>
      </w:pPr>
      <w:r>
        <w:rPr>
          <w:sz w:val="20"/>
        </w:rPr>
        <w:t xml:space="preserve">б) участник конкурсного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участник конкурсного отбора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г) участник конкурсного отбора не должен находиться в реестре недобросовестных поставщиков;</w:t>
      </w:r>
    </w:p>
    <w:p>
      <w:pPr>
        <w:pStyle w:val="0"/>
        <w:spacing w:before="200" w:line-rule="auto"/>
        <w:ind w:firstLine="540"/>
        <w:jc w:val="both"/>
      </w:pPr>
      <w:r>
        <w:rPr>
          <w:sz w:val="20"/>
        </w:rPr>
        <w:t xml:space="preserve">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pPr>
        <w:pStyle w:val="0"/>
        <w:spacing w:before="200" w:line-rule="auto"/>
        <w:ind w:firstLine="540"/>
        <w:jc w:val="both"/>
      </w:pPr>
      <w:r>
        <w:rPr>
          <w:sz w:val="20"/>
        </w:rPr>
        <w:t xml:space="preserve">е) участник конкурсного отбора не имеет задолженности перед работниками по заработной плате;</w:t>
      </w:r>
    </w:p>
    <w:p>
      <w:pPr>
        <w:pStyle w:val="0"/>
        <w:spacing w:before="200" w:line-rule="auto"/>
        <w:ind w:firstLine="540"/>
        <w:jc w:val="both"/>
      </w:pPr>
      <w:r>
        <w:rPr>
          <w:sz w:val="20"/>
        </w:rPr>
        <w:t xml:space="preserve">ж) при наличии у участника конкурсного отбора наемных работников их заработная плата должна быть не ниже размера, установленного региональным соглашением о минимальной заработной плате в Ленинградской области;</w:t>
      </w:r>
    </w:p>
    <w:p>
      <w:pPr>
        <w:pStyle w:val="0"/>
        <w:spacing w:before="200" w:line-rule="auto"/>
        <w:ind w:firstLine="540"/>
        <w:jc w:val="both"/>
      </w:pPr>
      <w:r>
        <w:rPr>
          <w:sz w:val="20"/>
        </w:rPr>
        <w:t xml:space="preserve">з)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налоговым органом на основании запроса комитета, направленного в течение двух рабочих дней со дня окончания срока приема заявок, справки об исполнении обязанности по уплате налогов, сборов, пеней, штрафов, процентов;</w:t>
      </w:r>
    </w:p>
    <w:p>
      <w:pPr>
        <w:pStyle w:val="0"/>
        <w:spacing w:before="200" w:line-rule="auto"/>
        <w:ind w:firstLine="540"/>
        <w:jc w:val="both"/>
      </w:pPr>
      <w:r>
        <w:rPr>
          <w:sz w:val="20"/>
        </w:rPr>
        <w:t xml:space="preserve">4)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pPr>
        <w:pStyle w:val="0"/>
        <w:spacing w:before="200" w:line-rule="auto"/>
        <w:ind w:firstLine="540"/>
        <w:jc w:val="both"/>
      </w:pPr>
      <w:r>
        <w:rPr>
          <w:sz w:val="20"/>
        </w:rPr>
        <w:t xml:space="preserve">5) согласие получателя субсидии 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w:history="0" r:id="rId12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3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6) соблюдение получателем субсидии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pPr>
        <w:pStyle w:val="0"/>
        <w:spacing w:before="200" w:line-rule="auto"/>
        <w:ind w:firstLine="540"/>
        <w:jc w:val="both"/>
      </w:pPr>
      <w:r>
        <w:rPr>
          <w:sz w:val="20"/>
        </w:rPr>
        <w:t xml:space="preserve">7)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pPr>
        <w:pStyle w:val="0"/>
        <w:spacing w:before="200" w:line-rule="auto"/>
        <w:ind w:firstLine="540"/>
        <w:jc w:val="both"/>
      </w:pPr>
      <w:r>
        <w:rPr>
          <w:sz w:val="20"/>
        </w:rPr>
        <w:t xml:space="preserve">8) представление документов, указанных в </w:t>
      </w:r>
      <w:hyperlink w:history="0" w:anchor="P2004" w:tooltip="2.5. Для участия в конкурсном отборе участник представляет в комитет заявку, включающую следующие документы:">
        <w:r>
          <w:rPr>
            <w:sz w:val="20"/>
            <w:color w:val="0000ff"/>
          </w:rPr>
          <w:t xml:space="preserve">пункте 2.5</w:t>
        </w:r>
      </w:hyperlink>
      <w:r>
        <w:rPr>
          <w:sz w:val="20"/>
        </w:rPr>
        <w:t xml:space="preserve"> настоящего Порядка, в сроки, определенные в соответствии с </w:t>
      </w:r>
      <w:hyperlink w:history="0" w:anchor="P1987" w:tooltip="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quot;Интернет&quot;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
        <w:r>
          <w:rPr>
            <w:sz w:val="20"/>
            <w:color w:val="0000ff"/>
          </w:rPr>
          <w:t xml:space="preserve">пунктом 2.4</w:t>
        </w:r>
      </w:hyperlink>
      <w:r>
        <w:rPr>
          <w:sz w:val="20"/>
        </w:rPr>
        <w:t xml:space="preserve"> настоящего Порядка.</w:t>
      </w:r>
    </w:p>
    <w:bookmarkStart w:id="1981" w:name="P1981"/>
    <w:bookmarkEnd w:id="1981"/>
    <w:p>
      <w:pPr>
        <w:pStyle w:val="0"/>
        <w:spacing w:before="200" w:line-rule="auto"/>
        <w:ind w:firstLine="540"/>
        <w:jc w:val="both"/>
      </w:pPr>
      <w:r>
        <w:rPr>
          <w:sz w:val="20"/>
        </w:rPr>
        <w:t xml:space="preserve">2.2. Субсидии предоставляются на финансовое обеспечение затрат, связанных с реализацией проекта, по следующим направлениям расходов: оплата труда работников, включая налог на доходы физических лиц, страховые взносы (начисления на оплату труда) в государственные внебюджетные фонды работников; оплата товаров; оплата работ; оплата услуг (услуги связи, транспортные услуги, арендная плата за пользование имуществом); на приобретение нефинансовых активов, в том числе на приобретение объектов интеллектуальной собственности, информационного и компьютерного телекоммуникационного оборудования и прочего оборудования, включая хозяйственный инвентарь, используемого для реализации проекта.</w:t>
      </w:r>
    </w:p>
    <w:p>
      <w:pPr>
        <w:pStyle w:val="0"/>
        <w:spacing w:before="200" w:line-rule="auto"/>
        <w:ind w:firstLine="540"/>
        <w:jc w:val="both"/>
      </w:pPr>
      <w:r>
        <w:rPr>
          <w:sz w:val="20"/>
        </w:rPr>
        <w:t xml:space="preserve">2.2.1. Субсидии не предоставляются на финансовое обеспечение затрат:</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 не связанной с реализацией проекта;</w:t>
      </w:r>
    </w:p>
    <w:p>
      <w:pPr>
        <w:pStyle w:val="0"/>
        <w:spacing w:before="200" w:line-rule="auto"/>
        <w:ind w:firstLine="540"/>
        <w:jc w:val="both"/>
      </w:pPr>
      <w:r>
        <w:rPr>
          <w:sz w:val="20"/>
        </w:rPr>
        <w:t xml:space="preserve">связанных с осуществлением деятельности, не связанной с реализацией проекта;</w:t>
      </w:r>
    </w:p>
    <w:p>
      <w:pPr>
        <w:pStyle w:val="0"/>
        <w:spacing w:before="200" w:line-rule="auto"/>
        <w:ind w:firstLine="540"/>
        <w:jc w:val="both"/>
      </w:pPr>
      <w:r>
        <w:rPr>
          <w:sz w:val="20"/>
        </w:rPr>
        <w:t xml:space="preserve">на оплату кредитов и займов.</w:t>
      </w:r>
    </w:p>
    <w:p>
      <w:pPr>
        <w:pStyle w:val="0"/>
        <w:spacing w:before="200" w:line-rule="auto"/>
        <w:ind w:firstLine="540"/>
        <w:jc w:val="both"/>
      </w:pPr>
      <w:r>
        <w:rPr>
          <w:sz w:val="20"/>
        </w:rPr>
        <w:t xml:space="preserve">2.3. Субсидии предоставляются по результатам конкурсного отбора.</w:t>
      </w:r>
    </w:p>
    <w:bookmarkStart w:id="1987" w:name="P1987"/>
    <w:bookmarkEnd w:id="1987"/>
    <w:p>
      <w:pPr>
        <w:pStyle w:val="0"/>
        <w:spacing w:before="200" w:line-rule="auto"/>
        <w:ind w:firstLine="540"/>
        <w:jc w:val="both"/>
      </w:pPr>
      <w:r>
        <w:rPr>
          <w:sz w:val="20"/>
        </w:rPr>
        <w:t xml:space="preserve">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w:t>
      </w:r>
    </w:p>
    <w:p>
      <w:pPr>
        <w:pStyle w:val="0"/>
        <w:spacing w:before="200" w:line-rule="auto"/>
        <w:ind w:firstLine="540"/>
        <w:jc w:val="both"/>
      </w:pPr>
      <w:r>
        <w:rPr>
          <w:sz w:val="20"/>
        </w:rPr>
        <w:t xml:space="preserve">а) срок проведения конкурсного отбора;</w:t>
      </w:r>
    </w:p>
    <w:p>
      <w:pPr>
        <w:pStyle w:val="0"/>
        <w:spacing w:before="200" w:line-rule="auto"/>
        <w:ind w:firstLine="540"/>
        <w:jc w:val="both"/>
      </w:pPr>
      <w:r>
        <w:rPr>
          <w:sz w:val="20"/>
        </w:rPr>
        <w:t xml:space="preserve">б) дата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в) 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г) результаты предоставления субсидий в соответствии с </w:t>
      </w:r>
      <w:hyperlink w:history="0" w:anchor="P2103" w:tooltip="2.21. Планируемым результатом использования субсидии является количество общественных инициатив, направленных на развитие туристической инфраструктуры.">
        <w:r>
          <w:rPr>
            <w:sz w:val="20"/>
            <w:color w:val="0000ff"/>
          </w:rPr>
          <w:t xml:space="preserve">пунктом 2.21</w:t>
        </w:r>
      </w:hyperlink>
      <w:r>
        <w:rPr>
          <w:sz w:val="20"/>
        </w:rPr>
        <w:t xml:space="preserve"> настоящего Порядка;</w:t>
      </w:r>
    </w:p>
    <w:p>
      <w:pPr>
        <w:pStyle w:val="0"/>
        <w:spacing w:before="200" w:line-rule="auto"/>
        <w:ind w:firstLine="540"/>
        <w:jc w:val="both"/>
      </w:pPr>
      <w:r>
        <w:rPr>
          <w:sz w:val="20"/>
        </w:rPr>
        <w:t xml:space="preserve">д) максимальный размер субсидий на один проект;</w:t>
      </w:r>
    </w:p>
    <w:p>
      <w:pPr>
        <w:pStyle w:val="0"/>
        <w:spacing w:before="200" w:line-rule="auto"/>
        <w:ind w:firstLine="540"/>
        <w:jc w:val="both"/>
      </w:pPr>
      <w:r>
        <w:rPr>
          <w:sz w:val="20"/>
        </w:rPr>
        <w:t xml:space="preserve">е)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ж) требования к участникам конкурсного отбора в соответствии с </w:t>
      </w:r>
      <w:hyperlink w:history="0" w:anchor="P1964" w:tooltip="2.1. Субсидии предоставляются при соблюдении следующих требований:">
        <w:r>
          <w:rPr>
            <w:sz w:val="20"/>
            <w:color w:val="0000ff"/>
          </w:rPr>
          <w:t xml:space="preserve">пунктом 2.1</w:t>
        </w:r>
      </w:hyperlink>
      <w:r>
        <w:rPr>
          <w:sz w:val="20"/>
        </w:rPr>
        <w:t xml:space="preserve">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w:t>
      </w:r>
      <w:hyperlink w:history="0" w:anchor="P2004"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з)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pPr>
        <w:pStyle w:val="0"/>
        <w:spacing w:before="200" w:line-rule="auto"/>
        <w:ind w:firstLine="540"/>
        <w:jc w:val="both"/>
      </w:pPr>
      <w:r>
        <w:rPr>
          <w:sz w:val="20"/>
        </w:rPr>
        <w:t xml:space="preserve">и)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pPr>
        <w:pStyle w:val="0"/>
        <w:spacing w:before="200" w:line-rule="auto"/>
        <w:ind w:firstLine="540"/>
        <w:jc w:val="both"/>
      </w:pPr>
      <w:r>
        <w:rPr>
          <w:sz w:val="20"/>
        </w:rPr>
        <w:t xml:space="preserve">к) правила рассмотрения и оценки заявок участников конкурсного отбора;</w:t>
      </w:r>
    </w:p>
    <w:p>
      <w:pPr>
        <w:pStyle w:val="0"/>
        <w:spacing w:before="200" w:line-rule="auto"/>
        <w:ind w:firstLine="540"/>
        <w:jc w:val="both"/>
      </w:pPr>
      <w:r>
        <w:rPr>
          <w:sz w:val="20"/>
        </w:rPr>
        <w:t xml:space="preserve">л) 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м) срок, в течение которого победители конкурсного отбора должны подписать соглашения о предоставлении субсидии;</w:t>
      </w:r>
    </w:p>
    <w:p>
      <w:pPr>
        <w:pStyle w:val="0"/>
        <w:spacing w:before="200" w:line-rule="auto"/>
        <w:ind w:firstLine="540"/>
        <w:jc w:val="both"/>
      </w:pPr>
      <w:r>
        <w:rPr>
          <w:sz w:val="20"/>
        </w:rPr>
        <w:t xml:space="preserve">н) условия признания победителя (победителей) конкурсного отбора уклонившимся (уклонившимися) от заключения соглашения;</w:t>
      </w:r>
    </w:p>
    <w:p>
      <w:pPr>
        <w:pStyle w:val="0"/>
        <w:spacing w:before="200" w:line-rule="auto"/>
        <w:ind w:firstLine="540"/>
        <w:jc w:val="both"/>
      </w:pPr>
      <w:r>
        <w:rPr>
          <w:sz w:val="20"/>
        </w:rPr>
        <w:t xml:space="preserve">о) дату размещения результатов конкурсного отбора на едином портале и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Размещение объявления о проведении конкурсного отбора осуществляет секретарь комиссии.</w:t>
      </w:r>
    </w:p>
    <w:p>
      <w:pPr>
        <w:pStyle w:val="0"/>
        <w:spacing w:before="200" w:line-rule="auto"/>
        <w:ind w:firstLine="540"/>
        <w:jc w:val="both"/>
      </w:pPr>
      <w:r>
        <w:rPr>
          <w:sz w:val="20"/>
        </w:rPr>
        <w:t xml:space="preserve">Поступающие заявки регистрируются в соответствующем журнале в день поступления в комитет.</w:t>
      </w:r>
    </w:p>
    <w:bookmarkStart w:id="2004" w:name="P2004"/>
    <w:bookmarkEnd w:id="2004"/>
    <w:p>
      <w:pPr>
        <w:pStyle w:val="0"/>
        <w:spacing w:before="200" w:line-rule="auto"/>
        <w:ind w:firstLine="540"/>
        <w:jc w:val="both"/>
      </w:pPr>
      <w:r>
        <w:rPr>
          <w:sz w:val="20"/>
        </w:rPr>
        <w:t xml:space="preserve">2.5. Для участия в конкурсном отборе участник представляет в комитет заявку, включающую следующие документы:</w:t>
      </w:r>
    </w:p>
    <w:p>
      <w:pPr>
        <w:pStyle w:val="0"/>
        <w:spacing w:before="200" w:line-rule="auto"/>
        <w:ind w:firstLine="540"/>
        <w:jc w:val="both"/>
      </w:pPr>
      <w:r>
        <w:rPr>
          <w:sz w:val="20"/>
        </w:rPr>
        <w:t xml:space="preserve">а) заявку на предоставление субсидии по форме, утвержденной правовым актом комитета;</w:t>
      </w:r>
    </w:p>
    <w:p>
      <w:pPr>
        <w:pStyle w:val="0"/>
        <w:spacing w:before="200" w:line-rule="auto"/>
        <w:ind w:firstLine="540"/>
        <w:jc w:val="both"/>
      </w:pPr>
      <w:r>
        <w:rPr>
          <w:sz w:val="20"/>
        </w:rPr>
        <w:t xml:space="preserve">б) справку, заверенную подписями руководителя (лица, действующего без доверенности), главного бухгалтера и печатью (при наличии), о соответствии участника конкурсного отбора требованиям, указанным в </w:t>
      </w:r>
      <w:hyperlink w:history="0" w:anchor="P1966" w:tooltip="2) соответствие участника конкурсного отбора по состоянию на дату подачи заявки следующим требованиям:">
        <w:r>
          <w:rPr>
            <w:sz w:val="20"/>
            <w:color w:val="0000ff"/>
          </w:rPr>
          <w:t xml:space="preserve">подпункте 2 пункта 2.1</w:t>
        </w:r>
      </w:hyperlink>
      <w:r>
        <w:rPr>
          <w:sz w:val="20"/>
        </w:rPr>
        <w:t xml:space="preserve"> настоящего Порядка;</w:t>
      </w:r>
    </w:p>
    <w:p>
      <w:pPr>
        <w:pStyle w:val="0"/>
        <w:spacing w:before="200" w:line-rule="auto"/>
        <w:ind w:firstLine="540"/>
        <w:jc w:val="both"/>
      </w:pPr>
      <w:r>
        <w:rPr>
          <w:sz w:val="20"/>
        </w:rPr>
        <w:t xml:space="preserve">в) копию документа, подтверждающего полномочия руководителя, заверенную подписью руководителя и печатью (при наличии);</w:t>
      </w:r>
    </w:p>
    <w:p>
      <w:pPr>
        <w:pStyle w:val="0"/>
        <w:spacing w:before="200" w:line-rule="auto"/>
        <w:ind w:firstLine="540"/>
        <w:jc w:val="both"/>
      </w:pPr>
      <w:r>
        <w:rPr>
          <w:sz w:val="20"/>
        </w:rPr>
        <w:t xml:space="preserve">г) презентацию проекта с кратким описанием, включая информацию о целях, задачах, расчетах, ожидаемом результате реализации проекта (в объеме не более 10 слайдов);</w:t>
      </w:r>
    </w:p>
    <w:p>
      <w:pPr>
        <w:pStyle w:val="0"/>
        <w:spacing w:before="200" w:line-rule="auto"/>
        <w:ind w:firstLine="540"/>
        <w:jc w:val="both"/>
      </w:pPr>
      <w:r>
        <w:rPr>
          <w:sz w:val="20"/>
        </w:rPr>
        <w:t xml:space="preserve">д) сметный расчет с обоснованием стоимости затрат на реализацию проекта, указанных в </w:t>
      </w:r>
      <w:hyperlink w:history="0" w:anchor="P1981" w:tooltip="2.2. Субсидии предоставляются на финансовое обеспечение затрат, связанных с реализацией проекта, по следующим направлениям расходов: оплата труда работников, включая налог на доходы физических лиц, страховые взносы (начисления на оплату труда) в государственные внебюджетные фонды работников; оплата товаров; оплата работ; оплата услуг (услуги связи, транспортные услуги, арендная плата за пользование имуществом); на приобретение нефинансовых активов, в том числе на приобретение объектов интеллектуальной со...">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е) письмо о возможности рассмотрения проекта от администрации муниципального образования Ленинградской области (муниципального района, городского округа) (при наличии);</w:t>
      </w:r>
    </w:p>
    <w:bookmarkStart w:id="2011" w:name="P2011"/>
    <w:bookmarkEnd w:id="2011"/>
    <w:p>
      <w:pPr>
        <w:pStyle w:val="0"/>
        <w:spacing w:before="200" w:line-rule="auto"/>
        <w:ind w:firstLine="540"/>
        <w:jc w:val="both"/>
      </w:pPr>
      <w:r>
        <w:rPr>
          <w:sz w:val="20"/>
        </w:rPr>
        <w:t xml:space="preserve">ж) копии правоустанавливающих документов, подтверждающих право собственности или иное законное право участника конкурсного отбора на земельный участок, права на который не зарегистрированы в Едином государственном реестре недвижимости (при наличии).</w:t>
      </w:r>
    </w:p>
    <w:p>
      <w:pPr>
        <w:pStyle w:val="0"/>
        <w:spacing w:before="200" w:line-rule="auto"/>
        <w:ind w:firstLine="540"/>
        <w:jc w:val="both"/>
      </w:pPr>
      <w:r>
        <w:rPr>
          <w:sz w:val="20"/>
        </w:rPr>
        <w:t xml:space="preserve">2.5.1. Комитет запрашивает:</w:t>
      </w:r>
    </w:p>
    <w:p>
      <w:pPr>
        <w:pStyle w:val="0"/>
        <w:spacing w:before="200" w:line-rule="auto"/>
        <w:ind w:firstLine="540"/>
        <w:jc w:val="both"/>
      </w:pPr>
      <w:r>
        <w:rPr>
          <w:sz w:val="20"/>
        </w:rPr>
        <w:t xml:space="preserve">а) в порядке информационного взаимодействия с другими органами государственной власти и организациями:</w:t>
      </w:r>
    </w:p>
    <w:p>
      <w:pPr>
        <w:pStyle w:val="0"/>
        <w:spacing w:before="200" w:line-rule="auto"/>
        <w:ind w:firstLine="540"/>
        <w:jc w:val="both"/>
      </w:pPr>
      <w:r>
        <w:rPr>
          <w:sz w:val="20"/>
        </w:rPr>
        <w:t xml:space="preserve">подтверждение отсутствия участника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spacing w:before="200" w:line-rule="auto"/>
        <w:ind w:firstLine="540"/>
        <w:jc w:val="both"/>
      </w:pPr>
      <w:r>
        <w:rPr>
          <w:sz w:val="20"/>
        </w:rPr>
        <w:t xml:space="preserve">б) через портал системы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w:t>
      </w:r>
    </w:p>
    <w:p>
      <w:pPr>
        <w:pStyle w:val="0"/>
        <w:spacing w:before="200" w:line-rule="auto"/>
        <w:ind w:firstLine="540"/>
        <w:jc w:val="both"/>
      </w:pPr>
      <w:r>
        <w:rPr>
          <w:sz w:val="20"/>
        </w:rPr>
        <w:t xml:space="preserve">выписку из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копию правоустанавливающего документа, свидетельствующего о наличии права собственности, и(или) копию договора долгосрочной аренды, и(или) копию иного документа (при наличии), подтверждающего право пользования земельным участком, на котором расположен пляж, маршрут, в случае непредставления документа, указанного в </w:t>
      </w:r>
      <w:hyperlink w:history="0" w:anchor="P2011" w:tooltip="ж) копии правоустанавливающих документов, подтверждающих право собственности или иное законное право участника конкурсного отбора на земельный участок, права на который не зарегистрированы в Едином государственном реестре недвижимости (при наличии).">
        <w:r>
          <w:rPr>
            <w:sz w:val="20"/>
            <w:color w:val="0000ff"/>
          </w:rPr>
          <w:t xml:space="preserve">подпункте "ж" пункта 2.5</w:t>
        </w:r>
      </w:hyperlink>
      <w:r>
        <w:rPr>
          <w:sz w:val="20"/>
        </w:rPr>
        <w:t xml:space="preserve"> настоящего Порядка;</w:t>
      </w:r>
    </w:p>
    <w:p>
      <w:pPr>
        <w:pStyle w:val="0"/>
        <w:spacing w:before="200" w:line-rule="auto"/>
        <w:ind w:firstLine="540"/>
        <w:jc w:val="both"/>
      </w:pPr>
      <w:r>
        <w:rPr>
          <w:sz w:val="20"/>
        </w:rPr>
        <w:t xml:space="preserve">справку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pPr>
        <w:pStyle w:val="0"/>
        <w:spacing w:before="200" w:line-rule="auto"/>
        <w:ind w:firstLine="540"/>
        <w:jc w:val="both"/>
      </w:pPr>
      <w:r>
        <w:rPr>
          <w:sz w:val="20"/>
        </w:rPr>
        <w:t xml:space="preserve">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pPr>
        <w:pStyle w:val="0"/>
        <w:spacing w:before="200" w:line-rule="auto"/>
        <w:ind w:firstLine="540"/>
        <w:jc w:val="both"/>
      </w:pPr>
      <w:r>
        <w:rPr>
          <w:sz w:val="20"/>
        </w:rPr>
        <w:t xml:space="preserve">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2.6. Участник конкурсного отбора подает не более одной заявки для получения субсидии.</w:t>
      </w:r>
    </w:p>
    <w:p>
      <w:pPr>
        <w:pStyle w:val="0"/>
        <w:spacing w:before="200" w:line-rule="auto"/>
        <w:ind w:firstLine="540"/>
        <w:jc w:val="both"/>
      </w:pPr>
      <w:r>
        <w:rPr>
          <w:sz w:val="20"/>
        </w:rPr>
        <w:t xml:space="preserve">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pPr>
        <w:pStyle w:val="0"/>
        <w:spacing w:before="200" w:line-rule="auto"/>
        <w:ind w:firstLine="540"/>
        <w:jc w:val="both"/>
      </w:pPr>
      <w:r>
        <w:rPr>
          <w:sz w:val="20"/>
        </w:rPr>
        <w:t xml:space="preserve">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pPr>
        <w:pStyle w:val="0"/>
        <w:spacing w:before="200" w:line-rule="auto"/>
        <w:ind w:firstLine="540"/>
        <w:jc w:val="both"/>
      </w:pPr>
      <w:r>
        <w:rPr>
          <w:sz w:val="20"/>
        </w:rPr>
        <w:t xml:space="preserve">Внесение изменений в заявку осуществляется путем отзыва на основании письменного уведомления и подачи новой заявки не позднее даты окончания приема заявок.</w:t>
      </w:r>
    </w:p>
    <w:p>
      <w:pPr>
        <w:pStyle w:val="0"/>
        <w:spacing w:before="200" w:line-rule="auto"/>
        <w:ind w:firstLine="540"/>
        <w:jc w:val="both"/>
      </w:pPr>
      <w:r>
        <w:rPr>
          <w:sz w:val="20"/>
        </w:rPr>
        <w:t xml:space="preserve">В случае поступления запроса от участника конкурсного отбора о разъяснении положений объявления о проведении конкурсного отбора комитет направляет ответ на запрос о разъяснении положений объявления о проведении конкурсного отбора в течение трех рабочих дней со дня поступления запроса.</w:t>
      </w:r>
    </w:p>
    <w:p>
      <w:pPr>
        <w:pStyle w:val="0"/>
        <w:spacing w:before="200" w:line-rule="auto"/>
        <w:ind w:firstLine="540"/>
        <w:jc w:val="both"/>
      </w:pPr>
      <w:r>
        <w:rPr>
          <w:sz w:val="20"/>
        </w:rPr>
        <w:t xml:space="preserve">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pPr>
        <w:pStyle w:val="0"/>
        <w:spacing w:before="200" w:line-rule="auto"/>
        <w:ind w:firstLine="540"/>
        <w:jc w:val="both"/>
      </w:pPr>
      <w:r>
        <w:rPr>
          <w:sz w:val="20"/>
        </w:rP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history="0" w:anchor="P2074" w:tooltip="2.11. Основаниями для отклонения заявки участника конкурсного отбора на стадии рассмотрения и оценки заявок являются:">
        <w:r>
          <w:rPr>
            <w:sz w:val="20"/>
            <w:color w:val="0000ff"/>
          </w:rPr>
          <w:t xml:space="preserve">пунктами 2.11</w:t>
        </w:r>
      </w:hyperlink>
      <w:r>
        <w:rPr>
          <w:sz w:val="20"/>
        </w:rPr>
        <w:t xml:space="preserve"> и </w:t>
      </w:r>
      <w:hyperlink w:history="0" w:anchor="P2079" w:tooltip="2.12. Основаниями для отказа в предоставлении субсидии являются:">
        <w:r>
          <w:rPr>
            <w:sz w:val="20"/>
            <w:color w:val="0000ff"/>
          </w:rPr>
          <w:t xml:space="preserve">2.12</w:t>
        </w:r>
      </w:hyperlink>
      <w:r>
        <w:rPr>
          <w:sz w:val="20"/>
        </w:rPr>
        <w:t xml:space="preserve"> настоящего Порядка, определяет победителя конкурсного отбора в соответствии с </w:t>
      </w:r>
      <w:hyperlink w:history="0" w:anchor="P2029" w:tooltip="2.10. Представленные на конкурсный отбор заявки оцениваются комиссией по балльной системе в соответствии со следующими критериями:">
        <w:r>
          <w:rPr>
            <w:sz w:val="20"/>
            <w:color w:val="0000ff"/>
          </w:rPr>
          <w:t xml:space="preserve">пунктом 2.10</w:t>
        </w:r>
      </w:hyperlink>
      <w:r>
        <w:rPr>
          <w:sz w:val="20"/>
        </w:rPr>
        <w:t xml:space="preserve"> настоящего Порядка.</w:t>
      </w:r>
    </w:p>
    <w:bookmarkStart w:id="2029" w:name="P2029"/>
    <w:bookmarkEnd w:id="2029"/>
    <w:p>
      <w:pPr>
        <w:pStyle w:val="0"/>
        <w:spacing w:before="200" w:line-rule="auto"/>
        <w:ind w:firstLine="540"/>
        <w:jc w:val="both"/>
      </w:pPr>
      <w:r>
        <w:rPr>
          <w:sz w:val="20"/>
        </w:rPr>
        <w:t xml:space="preserve">2.10. Представленные на конкурсный отбор заявки оцениваются комиссией по балльной системе в соответствии со следующими критериями: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15"/>
        <w:gridCol w:w="5046"/>
      </w:tblGrid>
      <w:tr>
        <w:tc>
          <w:tcPr>
            <w:tcW w:w="510" w:type="dxa"/>
          </w:tcPr>
          <w:p>
            <w:pPr>
              <w:pStyle w:val="0"/>
              <w:jc w:val="center"/>
            </w:pPr>
            <w:r>
              <w:rPr>
                <w:sz w:val="20"/>
              </w:rPr>
              <w:t xml:space="preserve">N п/п</w:t>
            </w:r>
          </w:p>
        </w:tc>
        <w:tc>
          <w:tcPr>
            <w:tcW w:w="3515" w:type="dxa"/>
          </w:tcPr>
          <w:p>
            <w:pPr>
              <w:pStyle w:val="0"/>
              <w:jc w:val="center"/>
            </w:pPr>
            <w:r>
              <w:rPr>
                <w:sz w:val="20"/>
              </w:rPr>
              <w:t xml:space="preserve">Наименование критерия</w:t>
            </w:r>
          </w:p>
        </w:tc>
        <w:tc>
          <w:tcPr>
            <w:tcW w:w="5046" w:type="dxa"/>
          </w:tcPr>
          <w:p>
            <w:pPr>
              <w:pStyle w:val="0"/>
              <w:jc w:val="center"/>
            </w:pPr>
            <w:r>
              <w:rPr>
                <w:sz w:val="20"/>
              </w:rPr>
              <w:t xml:space="preserve">Количество баллов</w:t>
            </w:r>
          </w:p>
        </w:tc>
      </w:tr>
      <w:tr>
        <w:tc>
          <w:tcPr>
            <w:tcW w:w="510" w:type="dxa"/>
          </w:tcPr>
          <w:p>
            <w:pPr>
              <w:pStyle w:val="0"/>
              <w:jc w:val="center"/>
            </w:pPr>
            <w:r>
              <w:rPr>
                <w:sz w:val="20"/>
              </w:rPr>
              <w:t xml:space="preserve">1</w:t>
            </w:r>
          </w:p>
        </w:tc>
        <w:tc>
          <w:tcPr>
            <w:tcW w:w="3515" w:type="dxa"/>
          </w:tcPr>
          <w:p>
            <w:pPr>
              <w:pStyle w:val="0"/>
              <w:jc w:val="center"/>
            </w:pPr>
            <w:r>
              <w:rPr>
                <w:sz w:val="20"/>
              </w:rPr>
              <w:t xml:space="preserve">2</w:t>
            </w:r>
          </w:p>
        </w:tc>
        <w:tc>
          <w:tcPr>
            <w:tcW w:w="5046" w:type="dxa"/>
          </w:tcPr>
          <w:p>
            <w:pPr>
              <w:pStyle w:val="0"/>
              <w:jc w:val="center"/>
            </w:pPr>
            <w:r>
              <w:rPr>
                <w:sz w:val="20"/>
              </w:rPr>
              <w:t xml:space="preserve">3</w:t>
            </w:r>
          </w:p>
        </w:tc>
      </w:tr>
      <w:tr>
        <w:tc>
          <w:tcPr>
            <w:tcW w:w="510" w:type="dxa"/>
            <w:vMerge w:val="restart"/>
          </w:tcPr>
          <w:p>
            <w:pPr>
              <w:pStyle w:val="0"/>
              <w:jc w:val="center"/>
            </w:pPr>
            <w:r>
              <w:rPr>
                <w:sz w:val="20"/>
              </w:rPr>
              <w:t xml:space="preserve">1</w:t>
            </w:r>
          </w:p>
        </w:tc>
        <w:tc>
          <w:tcPr>
            <w:tcW w:w="3515" w:type="dxa"/>
            <w:vMerge w:val="restart"/>
          </w:tcPr>
          <w:p>
            <w:pPr>
              <w:pStyle w:val="0"/>
            </w:pPr>
            <w:r>
              <w:rPr>
                <w:sz w:val="20"/>
              </w:rPr>
              <w:t xml:space="preserve">Актуальность проекта (ориентированность проекта на развитие туристической инфраструктуры на территории Ленинградской области), его соответствие выбранному направлению в соответствии с </w:t>
            </w:r>
            <w:hyperlink w:history="0" w:anchor="P1946" w:tooltip="1.3. Субсидии предоставляются на финансовое обеспечение поддержки общественных инициатив при реализации проектов, направленных на развитие туристической инфраструктуры на территории Ленинградской области, по следующим направлениям:">
              <w:r>
                <w:rPr>
                  <w:sz w:val="20"/>
                  <w:color w:val="0000ff"/>
                </w:rPr>
                <w:t xml:space="preserve">пунктом 1.3</w:t>
              </w:r>
            </w:hyperlink>
            <w:r>
              <w:rPr>
                <w:sz w:val="20"/>
              </w:rPr>
              <w:t xml:space="preserve"> настоящего Порядка</w:t>
            </w:r>
          </w:p>
        </w:tc>
        <w:tc>
          <w:tcPr>
            <w:tcW w:w="5046" w:type="dxa"/>
          </w:tcPr>
          <w:p>
            <w:pPr>
              <w:pStyle w:val="0"/>
            </w:pPr>
            <w:r>
              <w:rPr>
                <w:sz w:val="20"/>
              </w:rPr>
              <w:t xml:space="preserve">Проект актуален, соответствует выбранному направлению в полной мере - 35 баллов</w:t>
            </w:r>
          </w:p>
        </w:tc>
      </w:tr>
      <w:tr>
        <w:tc>
          <w:tcPr>
            <w:vMerge w:val="continue"/>
          </w:tcPr>
          <w:p/>
        </w:tc>
        <w:tc>
          <w:tcPr>
            <w:vMerge w:val="continue"/>
          </w:tcPr>
          <w:p/>
        </w:tc>
        <w:tc>
          <w:tcPr>
            <w:tcW w:w="5046" w:type="dxa"/>
          </w:tcPr>
          <w:p>
            <w:pPr>
              <w:pStyle w:val="0"/>
            </w:pPr>
            <w:r>
              <w:rPr>
                <w:sz w:val="20"/>
              </w:rPr>
              <w:t xml:space="preserve">Проект актуален, частично соответствует выбранному направлению - 20 баллов</w:t>
            </w:r>
          </w:p>
        </w:tc>
      </w:tr>
      <w:tr>
        <w:tc>
          <w:tcPr>
            <w:vMerge w:val="continue"/>
          </w:tcPr>
          <w:p/>
        </w:tc>
        <w:tc>
          <w:tcPr>
            <w:vMerge w:val="continue"/>
          </w:tcPr>
          <w:p/>
        </w:tc>
        <w:tc>
          <w:tcPr>
            <w:tcW w:w="5046" w:type="dxa"/>
          </w:tcPr>
          <w:p>
            <w:pPr>
              <w:pStyle w:val="0"/>
            </w:pPr>
            <w:r>
              <w:rPr>
                <w:sz w:val="20"/>
              </w:rPr>
              <w:t xml:space="preserve">Проект не актуален - 0 баллов</w:t>
            </w:r>
          </w:p>
        </w:tc>
      </w:tr>
      <w:tr>
        <w:tc>
          <w:tcPr>
            <w:tcW w:w="510" w:type="dxa"/>
            <w:vMerge w:val="restart"/>
          </w:tcPr>
          <w:p>
            <w:pPr>
              <w:pStyle w:val="0"/>
              <w:jc w:val="center"/>
            </w:pPr>
            <w:r>
              <w:rPr>
                <w:sz w:val="20"/>
              </w:rPr>
              <w:t xml:space="preserve">2</w:t>
            </w:r>
          </w:p>
        </w:tc>
        <w:tc>
          <w:tcPr>
            <w:tcW w:w="3515" w:type="dxa"/>
            <w:vMerge w:val="restart"/>
          </w:tcPr>
          <w:p>
            <w:pPr>
              <w:pStyle w:val="0"/>
            </w:pPr>
            <w:r>
              <w:rPr>
                <w:sz w:val="20"/>
              </w:rPr>
              <w:t xml:space="preserve">Уровень софинансирования проекта в процентах</w:t>
            </w:r>
          </w:p>
        </w:tc>
        <w:tc>
          <w:tcPr>
            <w:tcW w:w="5046" w:type="dxa"/>
          </w:tcPr>
          <w:p>
            <w:pPr>
              <w:pStyle w:val="0"/>
            </w:pPr>
            <w:r>
              <w:rPr>
                <w:sz w:val="20"/>
              </w:rPr>
              <w:t xml:space="preserve">от 51% и выше - 35 баллов</w:t>
            </w:r>
          </w:p>
        </w:tc>
      </w:tr>
      <w:tr>
        <w:tc>
          <w:tcPr>
            <w:vMerge w:val="continue"/>
          </w:tcPr>
          <w:p/>
        </w:tc>
        <w:tc>
          <w:tcPr>
            <w:vMerge w:val="continue"/>
          </w:tcPr>
          <w:p/>
        </w:tc>
        <w:tc>
          <w:tcPr>
            <w:tcW w:w="5046" w:type="dxa"/>
          </w:tcPr>
          <w:p>
            <w:pPr>
              <w:pStyle w:val="0"/>
            </w:pPr>
            <w:r>
              <w:rPr>
                <w:sz w:val="20"/>
              </w:rPr>
              <w:t xml:space="preserve">от 41% до 50% - 15 баллов</w:t>
            </w:r>
          </w:p>
        </w:tc>
      </w:tr>
      <w:tr>
        <w:tc>
          <w:tcPr>
            <w:vMerge w:val="continue"/>
          </w:tcPr>
          <w:p/>
        </w:tc>
        <w:tc>
          <w:tcPr>
            <w:vMerge w:val="continue"/>
          </w:tcPr>
          <w:p/>
        </w:tc>
        <w:tc>
          <w:tcPr>
            <w:tcW w:w="5046" w:type="dxa"/>
          </w:tcPr>
          <w:p>
            <w:pPr>
              <w:pStyle w:val="0"/>
            </w:pPr>
            <w:r>
              <w:rPr>
                <w:sz w:val="20"/>
              </w:rPr>
              <w:t xml:space="preserve">от 31% до 40% - 5 баллов</w:t>
            </w:r>
          </w:p>
        </w:tc>
      </w:tr>
      <w:tr>
        <w:tc>
          <w:tcPr>
            <w:vMerge w:val="continue"/>
          </w:tcPr>
          <w:p/>
        </w:tc>
        <w:tc>
          <w:tcPr>
            <w:vMerge w:val="continue"/>
          </w:tcPr>
          <w:p/>
        </w:tc>
        <w:tc>
          <w:tcPr>
            <w:tcW w:w="5046" w:type="dxa"/>
          </w:tcPr>
          <w:p>
            <w:pPr>
              <w:pStyle w:val="0"/>
            </w:pPr>
            <w:r>
              <w:rPr>
                <w:sz w:val="20"/>
              </w:rPr>
              <w:t xml:space="preserve">от 0% до 30% - 0 баллов</w:t>
            </w:r>
          </w:p>
        </w:tc>
      </w:tr>
      <w:tr>
        <w:tc>
          <w:tcPr>
            <w:tcW w:w="510" w:type="dxa"/>
            <w:vMerge w:val="restart"/>
          </w:tcPr>
          <w:p>
            <w:pPr>
              <w:pStyle w:val="0"/>
              <w:jc w:val="center"/>
            </w:pPr>
            <w:r>
              <w:rPr>
                <w:sz w:val="20"/>
              </w:rPr>
              <w:t xml:space="preserve">3</w:t>
            </w:r>
          </w:p>
        </w:tc>
        <w:tc>
          <w:tcPr>
            <w:tcW w:w="3515" w:type="dxa"/>
            <w:vMerge w:val="restart"/>
          </w:tcPr>
          <w:p>
            <w:pPr>
              <w:pStyle w:val="0"/>
            </w:pPr>
            <w:r>
              <w:rPr>
                <w:sz w:val="20"/>
              </w:rPr>
              <w:t xml:space="preserve">Взаимосвязь проекта с туристскими объектами, туристскими маршрутами Ленинградской области</w:t>
            </w:r>
          </w:p>
        </w:tc>
        <w:tc>
          <w:tcPr>
            <w:tcW w:w="5046" w:type="dxa"/>
          </w:tcPr>
          <w:p>
            <w:pPr>
              <w:pStyle w:val="0"/>
            </w:pPr>
            <w:r>
              <w:rPr>
                <w:sz w:val="20"/>
              </w:rPr>
              <w:t xml:space="preserve">Проект взаимосвязан с туристскими объектами, туристскими маршрутами Ленинградской области - 7 баллов</w:t>
            </w:r>
          </w:p>
        </w:tc>
      </w:tr>
      <w:tr>
        <w:tc>
          <w:tcPr>
            <w:vMerge w:val="continue"/>
          </w:tcPr>
          <w:p/>
        </w:tc>
        <w:tc>
          <w:tcPr>
            <w:vMerge w:val="continue"/>
          </w:tcPr>
          <w:p/>
        </w:tc>
        <w:tc>
          <w:tcPr>
            <w:tcW w:w="5046" w:type="dxa"/>
          </w:tcPr>
          <w:p>
            <w:pPr>
              <w:pStyle w:val="0"/>
            </w:pPr>
            <w:r>
              <w:rPr>
                <w:sz w:val="20"/>
              </w:rPr>
              <w:t xml:space="preserve">Проект не взаимосвязан с туристскими объектами, туристскими маршрутами Ленинградской области - 0 баллов</w:t>
            </w:r>
          </w:p>
        </w:tc>
      </w:tr>
      <w:tr>
        <w:tc>
          <w:tcPr>
            <w:tcW w:w="510" w:type="dxa"/>
            <w:vMerge w:val="restart"/>
          </w:tcPr>
          <w:p>
            <w:pPr>
              <w:pStyle w:val="0"/>
              <w:jc w:val="center"/>
            </w:pPr>
            <w:r>
              <w:rPr>
                <w:sz w:val="20"/>
              </w:rPr>
              <w:t xml:space="preserve">4</w:t>
            </w:r>
          </w:p>
        </w:tc>
        <w:tc>
          <w:tcPr>
            <w:tcW w:w="3515" w:type="dxa"/>
            <w:vMerge w:val="restart"/>
          </w:tcPr>
          <w:p>
            <w:pPr>
              <w:pStyle w:val="0"/>
            </w:pPr>
            <w:r>
              <w:rPr>
                <w:sz w:val="20"/>
              </w:rPr>
              <w:t xml:space="preserve">Логическая взаимосвязь и реализуемость проекта</w:t>
            </w:r>
          </w:p>
        </w:tc>
        <w:tc>
          <w:tcPr>
            <w:tcW w:w="5046" w:type="dxa"/>
          </w:tcPr>
          <w:p>
            <w:pPr>
              <w:pStyle w:val="0"/>
            </w:pPr>
            <w:r>
              <w:rPr>
                <w:sz w:val="20"/>
              </w:rPr>
              <w:t xml:space="preserve">Цели и задачи соответствуют содержанию проекта, календарный план структурирован и детализирован - 5 баллов</w:t>
            </w:r>
          </w:p>
        </w:tc>
      </w:tr>
      <w:tr>
        <w:tc>
          <w:tcPr>
            <w:vMerge w:val="continue"/>
          </w:tcPr>
          <w:p/>
        </w:tc>
        <w:tc>
          <w:tcPr>
            <w:vMerge w:val="continue"/>
          </w:tcPr>
          <w:p/>
        </w:tc>
        <w:tc>
          <w:tcPr>
            <w:tcW w:w="5046" w:type="dxa"/>
          </w:tcPr>
          <w:p>
            <w:pPr>
              <w:pStyle w:val="0"/>
            </w:pPr>
            <w:r>
              <w:rPr>
                <w:sz w:val="20"/>
              </w:rPr>
              <w:t xml:space="preserve">Цели и задачи соответствуют содержанию проекта, но есть замечания по их составу, сроки выполнения отдельных мероприятий требуют корректировки - 3 балла</w:t>
            </w:r>
          </w:p>
        </w:tc>
      </w:tr>
      <w:tr>
        <w:tc>
          <w:tcPr>
            <w:vMerge w:val="continue"/>
          </w:tcPr>
          <w:p/>
        </w:tc>
        <w:tc>
          <w:tcPr>
            <w:vMerge w:val="continue"/>
          </w:tcPr>
          <w:p/>
        </w:tc>
        <w:tc>
          <w:tcPr>
            <w:tcW w:w="5046" w:type="dxa"/>
          </w:tcPr>
          <w:p>
            <w:pPr>
              <w:pStyle w:val="0"/>
            </w:pPr>
            <w:r>
              <w:rPr>
                <w:sz w:val="20"/>
              </w:rPr>
              <w:t xml:space="preserve">Проект имеет противоречия между планируемой деятельностью и ожидаемыми результатами, отсутствует детализация календарного плана, имеются ошибки в постановке целей, задач и описании мероприятий - 0 баллов</w:t>
            </w:r>
          </w:p>
        </w:tc>
      </w:tr>
      <w:tr>
        <w:tc>
          <w:tcPr>
            <w:tcW w:w="510" w:type="dxa"/>
            <w:vMerge w:val="restart"/>
          </w:tcPr>
          <w:p>
            <w:pPr>
              <w:pStyle w:val="0"/>
              <w:jc w:val="center"/>
            </w:pPr>
            <w:r>
              <w:rPr>
                <w:sz w:val="20"/>
              </w:rPr>
              <w:t xml:space="preserve">5</w:t>
            </w:r>
          </w:p>
        </w:tc>
        <w:tc>
          <w:tcPr>
            <w:tcW w:w="3515" w:type="dxa"/>
            <w:vMerge w:val="restart"/>
          </w:tcPr>
          <w:p>
            <w:pPr>
              <w:pStyle w:val="0"/>
            </w:pPr>
            <w:r>
              <w:rPr>
                <w:sz w:val="20"/>
              </w:rPr>
              <w:t xml:space="preserve">Обоснованность бюджета</w:t>
            </w:r>
          </w:p>
        </w:tc>
        <w:tc>
          <w:tcPr>
            <w:tcW w:w="5046" w:type="dxa"/>
          </w:tcPr>
          <w:p>
            <w:pPr>
              <w:pStyle w:val="0"/>
            </w:pPr>
            <w:r>
              <w:rPr>
                <w:sz w:val="20"/>
              </w:rPr>
              <w:t xml:space="preserve">В бюджете отсутствуют расходы, непосредственно не связанные с реализацией проекта, представлена детализация всех предполагаемых расходов - 7 баллов</w:t>
            </w:r>
          </w:p>
        </w:tc>
      </w:tr>
      <w:tr>
        <w:tc>
          <w:tcPr>
            <w:vMerge w:val="continue"/>
          </w:tcPr>
          <w:p/>
        </w:tc>
        <w:tc>
          <w:tcPr>
            <w:vMerge w:val="continue"/>
          </w:tcPr>
          <w:p/>
        </w:tc>
        <w:tc>
          <w:tcPr>
            <w:tcW w:w="5046" w:type="dxa"/>
          </w:tcPr>
          <w:p>
            <w:pPr>
              <w:pStyle w:val="0"/>
            </w:pPr>
            <w:r>
              <w:rPr>
                <w:sz w:val="20"/>
              </w:rPr>
              <w:t xml:space="preserve">Не все предполагаемые расходы следуют из мероприятий и обоснованы, в бюджете предусмотрены не имеющие прямого отношения к реализации проекта расходы - 3 балла</w:t>
            </w:r>
          </w:p>
        </w:tc>
      </w:tr>
      <w:tr>
        <w:tc>
          <w:tcPr>
            <w:vMerge w:val="continue"/>
          </w:tcPr>
          <w:p/>
        </w:tc>
        <w:tc>
          <w:tcPr>
            <w:vMerge w:val="continue"/>
          </w:tcPr>
          <w:p/>
        </w:tc>
        <w:tc>
          <w:tcPr>
            <w:tcW w:w="5046" w:type="dxa"/>
          </w:tcPr>
          <w:p>
            <w:pPr>
              <w:pStyle w:val="0"/>
            </w:pPr>
            <w:r>
              <w:rPr>
                <w:sz w:val="20"/>
              </w:rPr>
              <w:t xml:space="preserve">Предполагаемые расходы не соответствуют мероприятиям проекта и/или условиям конкурса - 0 баллов</w:t>
            </w:r>
          </w:p>
        </w:tc>
      </w:tr>
      <w:tr>
        <w:tc>
          <w:tcPr>
            <w:tcW w:w="510" w:type="dxa"/>
            <w:vMerge w:val="restart"/>
          </w:tcPr>
          <w:p>
            <w:pPr>
              <w:pStyle w:val="0"/>
              <w:jc w:val="center"/>
            </w:pPr>
            <w:r>
              <w:rPr>
                <w:sz w:val="20"/>
              </w:rPr>
              <w:t xml:space="preserve">6</w:t>
            </w:r>
          </w:p>
        </w:tc>
        <w:tc>
          <w:tcPr>
            <w:tcW w:w="3515" w:type="dxa"/>
            <w:vMerge w:val="restart"/>
          </w:tcPr>
          <w:p>
            <w:pPr>
              <w:pStyle w:val="0"/>
            </w:pPr>
            <w:r>
              <w:rPr>
                <w:sz w:val="20"/>
              </w:rPr>
              <w:t xml:space="preserve">Права на земельный участок под создаваемый проект</w:t>
            </w:r>
          </w:p>
        </w:tc>
        <w:tc>
          <w:tcPr>
            <w:tcW w:w="5046" w:type="dxa"/>
          </w:tcPr>
          <w:p>
            <w:pPr>
              <w:pStyle w:val="0"/>
            </w:pPr>
            <w:r>
              <w:rPr>
                <w:sz w:val="20"/>
              </w:rPr>
              <w:t xml:space="preserve">Наличие документов, подтверждающих права собственности на земельный участок, - 6 баллов</w:t>
            </w:r>
          </w:p>
        </w:tc>
      </w:tr>
      <w:tr>
        <w:tc>
          <w:tcPr>
            <w:vMerge w:val="continue"/>
          </w:tcPr>
          <w:p/>
        </w:tc>
        <w:tc>
          <w:tcPr>
            <w:vMerge w:val="continue"/>
          </w:tcPr>
          <w:p/>
        </w:tc>
        <w:tc>
          <w:tcPr>
            <w:tcW w:w="5046" w:type="dxa"/>
          </w:tcPr>
          <w:p>
            <w:pPr>
              <w:pStyle w:val="0"/>
            </w:pPr>
            <w:r>
              <w:rPr>
                <w:sz w:val="20"/>
              </w:rPr>
              <w:t xml:space="preserve">Наличие договора аренды или субаренды, подтверждающего оставшийся срок аренды на момент подачи заявки свыше 10 лет, или договора аренды с правом выкупа - 4 балла</w:t>
            </w:r>
          </w:p>
        </w:tc>
      </w:tr>
      <w:tr>
        <w:tc>
          <w:tcPr>
            <w:vMerge w:val="continue"/>
          </w:tcPr>
          <w:p/>
        </w:tc>
        <w:tc>
          <w:tcPr>
            <w:vMerge w:val="continue"/>
          </w:tcPr>
          <w:p/>
        </w:tc>
        <w:tc>
          <w:tcPr>
            <w:tcW w:w="5046" w:type="dxa"/>
          </w:tcPr>
          <w:p>
            <w:pPr>
              <w:pStyle w:val="0"/>
            </w:pPr>
            <w:r>
              <w:rPr>
                <w:sz w:val="20"/>
              </w:rPr>
              <w:t xml:space="preserve">Наличие договора аренды или субаренды, подтверждающего оставшийся срок аренды на момент подачи заявки от 6 до 10 лет, - 2 балла</w:t>
            </w:r>
          </w:p>
        </w:tc>
      </w:tr>
      <w:tr>
        <w:tc>
          <w:tcPr>
            <w:vMerge w:val="continue"/>
          </w:tcPr>
          <w:p/>
        </w:tc>
        <w:tc>
          <w:tcPr>
            <w:vMerge w:val="continue"/>
          </w:tcPr>
          <w:p/>
        </w:tc>
        <w:tc>
          <w:tcPr>
            <w:tcW w:w="5046" w:type="dxa"/>
          </w:tcPr>
          <w:p>
            <w:pPr>
              <w:pStyle w:val="0"/>
            </w:pPr>
            <w:r>
              <w:rPr>
                <w:sz w:val="20"/>
              </w:rPr>
              <w:t xml:space="preserve">Наличие договора аренды или субаренды, подтверждающего оставшийся срок аренды на момент подачи заявки от 3 до 5 лет, - 1 балл</w:t>
            </w:r>
          </w:p>
        </w:tc>
      </w:tr>
      <w:tr>
        <w:tc>
          <w:tcPr>
            <w:vMerge w:val="continue"/>
          </w:tcPr>
          <w:p/>
        </w:tc>
        <w:tc>
          <w:tcPr>
            <w:vMerge w:val="continue"/>
          </w:tcPr>
          <w:p/>
        </w:tc>
        <w:tc>
          <w:tcPr>
            <w:tcW w:w="5046" w:type="dxa"/>
          </w:tcPr>
          <w:p>
            <w:pPr>
              <w:pStyle w:val="0"/>
            </w:pPr>
            <w:r>
              <w:rPr>
                <w:sz w:val="20"/>
              </w:rPr>
              <w:t xml:space="preserve">Наличие договора аренды или субаренды, подтверждающего оставшийся срок аренды на момент подачи заявки менее 3 лет, - 0 баллов</w:t>
            </w:r>
          </w:p>
        </w:tc>
      </w:tr>
      <w:tr>
        <w:tc>
          <w:tcPr>
            <w:tcW w:w="510" w:type="dxa"/>
            <w:vMerge w:val="restart"/>
          </w:tcPr>
          <w:p>
            <w:pPr>
              <w:pStyle w:val="0"/>
              <w:jc w:val="center"/>
            </w:pPr>
            <w:r>
              <w:rPr>
                <w:sz w:val="20"/>
              </w:rPr>
              <w:t xml:space="preserve">7</w:t>
            </w:r>
          </w:p>
        </w:tc>
        <w:tc>
          <w:tcPr>
            <w:tcW w:w="3515" w:type="dxa"/>
            <w:vMerge w:val="restart"/>
          </w:tcPr>
          <w:p>
            <w:pPr>
              <w:pStyle w:val="0"/>
            </w:pPr>
            <w:r>
              <w:rPr>
                <w:sz w:val="20"/>
              </w:rPr>
              <w:t xml:space="preserve">Качество и обоснованность выбора планировочных решений</w:t>
            </w:r>
          </w:p>
        </w:tc>
        <w:tc>
          <w:tcPr>
            <w:tcW w:w="5046" w:type="dxa"/>
          </w:tcPr>
          <w:p>
            <w:pPr>
              <w:pStyle w:val="0"/>
            </w:pPr>
            <w:r>
              <w:rPr>
                <w:sz w:val="20"/>
              </w:rPr>
              <w:t xml:space="preserve">Функциональное зонирование соответствует режимам использования объекта - 5 баллов</w:t>
            </w:r>
          </w:p>
        </w:tc>
      </w:tr>
      <w:tr>
        <w:tc>
          <w:tcPr>
            <w:vMerge w:val="continue"/>
          </w:tcPr>
          <w:p/>
        </w:tc>
        <w:tc>
          <w:tcPr>
            <w:vMerge w:val="continue"/>
          </w:tcPr>
          <w:p/>
        </w:tc>
        <w:tc>
          <w:tcPr>
            <w:tcW w:w="5046" w:type="dxa"/>
          </w:tcPr>
          <w:p>
            <w:pPr>
              <w:pStyle w:val="0"/>
            </w:pPr>
            <w:r>
              <w:rPr>
                <w:sz w:val="20"/>
              </w:rPr>
              <w:t xml:space="preserve">Функциональное зонирование не соответствует режимам использования объекта - 0 баллов</w:t>
            </w:r>
          </w:p>
        </w:tc>
      </w:tr>
    </w:tbl>
    <w:p>
      <w:pPr>
        <w:pStyle w:val="0"/>
        <w:ind w:firstLine="540"/>
        <w:jc w:val="both"/>
      </w:pPr>
      <w:r>
        <w:rPr>
          <w:sz w:val="20"/>
        </w:rPr>
      </w:r>
    </w:p>
    <w:bookmarkStart w:id="2074" w:name="P2074"/>
    <w:bookmarkEnd w:id="2074"/>
    <w:p>
      <w:pPr>
        <w:pStyle w:val="0"/>
        <w:ind w:firstLine="540"/>
        <w:jc w:val="both"/>
      </w:pPr>
      <w:r>
        <w:rPr>
          <w:sz w:val="20"/>
        </w:rPr>
        <w:t xml:space="preserve">2.11. Основаниями для отклонения заявки участника конкурсного отбора на стадии рассмотрения и оценки заявок являются:</w:t>
      </w:r>
    </w:p>
    <w:p>
      <w:pPr>
        <w:pStyle w:val="0"/>
        <w:spacing w:before="200" w:line-rule="auto"/>
        <w:ind w:firstLine="540"/>
        <w:jc w:val="both"/>
      </w:pPr>
      <w:r>
        <w:rPr>
          <w:sz w:val="20"/>
        </w:rPr>
        <w:t xml:space="preserve">а) несоответствие участника конкурсного отбора условиям и требованиям </w:t>
      </w:r>
      <w:hyperlink w:history="0" w:anchor="P1964" w:tooltip="2.1. Субсидии предоставляются при соблюдении следующих требований:">
        <w:r>
          <w:rPr>
            <w:sz w:val="20"/>
            <w:color w:val="0000ff"/>
          </w:rPr>
          <w:t xml:space="preserve">пункта 2.1</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участником конкурсного отбора документов требованиям, установленным </w:t>
      </w:r>
      <w:hyperlink w:history="0" w:anchor="P2004"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конкурсного отбора заявки после даты и(или) времени, определенных в соответствии с </w:t>
      </w:r>
      <w:hyperlink w:history="0" w:anchor="P1987" w:tooltip="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quot;Интернет&quot;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
        <w:r>
          <w:rPr>
            <w:sz w:val="20"/>
            <w:color w:val="0000ff"/>
          </w:rPr>
          <w:t xml:space="preserve">пунктом 2.4</w:t>
        </w:r>
      </w:hyperlink>
      <w:r>
        <w:rPr>
          <w:sz w:val="20"/>
        </w:rPr>
        <w:t xml:space="preserve"> настоящего Порядка.</w:t>
      </w:r>
    </w:p>
    <w:bookmarkStart w:id="2079" w:name="P2079"/>
    <w:bookmarkEnd w:id="2079"/>
    <w:p>
      <w:pPr>
        <w:pStyle w:val="0"/>
        <w:spacing w:before="200" w:line-rule="auto"/>
        <w:ind w:firstLine="540"/>
        <w:jc w:val="both"/>
      </w:pPr>
      <w:r>
        <w:rPr>
          <w:sz w:val="20"/>
        </w:rPr>
        <w:t xml:space="preserve">2.12.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представленных участником конкурсного отбора документов требованиям, определенным в соответствии с </w:t>
      </w:r>
      <w:hyperlink w:history="0" w:anchor="P2004"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участником отбора информации;</w:t>
      </w:r>
    </w:p>
    <w:p>
      <w:pPr>
        <w:pStyle w:val="0"/>
        <w:spacing w:before="200" w:line-rule="auto"/>
        <w:ind w:firstLine="540"/>
        <w:jc w:val="both"/>
      </w:pPr>
      <w:r>
        <w:rPr>
          <w:sz w:val="20"/>
        </w:rPr>
        <w:t xml:space="preserve">в) заявке по результатам оценки комиссией присвоено 50 и менее баллов.</w:t>
      </w:r>
    </w:p>
    <w:p>
      <w:pPr>
        <w:pStyle w:val="0"/>
        <w:spacing w:before="200" w:line-rule="auto"/>
        <w:ind w:firstLine="540"/>
        <w:jc w:val="both"/>
      </w:pPr>
      <w:r>
        <w:rPr>
          <w:sz w:val="20"/>
        </w:rPr>
        <w:t xml:space="preserve">2.13. Победителями конкурсного отбора признаются участники, набравшие в сумме наибольшее количество баллов, но не менее 50 баллов, до полного распределения лимитов бюджетных обязательств, доведенных до комитета.</w:t>
      </w:r>
    </w:p>
    <w:p>
      <w:pPr>
        <w:pStyle w:val="0"/>
        <w:spacing w:before="200" w:line-rule="auto"/>
        <w:ind w:firstLine="540"/>
        <w:jc w:val="both"/>
      </w:pPr>
      <w:r>
        <w:rPr>
          <w:sz w:val="20"/>
        </w:rPr>
        <w:t xml:space="preserve">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pPr>
        <w:pStyle w:val="0"/>
        <w:spacing w:before="200" w:line-rule="auto"/>
        <w:ind w:firstLine="540"/>
        <w:jc w:val="both"/>
      </w:pPr>
      <w:r>
        <w:rPr>
          <w:sz w:val="20"/>
        </w:rPr>
        <w:t xml:space="preserve">2.14.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а также на официальном сайте комитета в информационно-телекоммуникационной сети "Интернет" в течение трех рабочих дней с даты его подписания.</w:t>
      </w:r>
    </w:p>
    <w:p>
      <w:pPr>
        <w:pStyle w:val="0"/>
        <w:spacing w:before="200" w:line-rule="auto"/>
        <w:ind w:firstLine="540"/>
        <w:jc w:val="both"/>
      </w:pPr>
      <w:r>
        <w:rPr>
          <w:sz w:val="20"/>
        </w:rPr>
        <w:t xml:space="preserve">2.15.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pPr>
        <w:pStyle w:val="0"/>
        <w:spacing w:before="200" w:line-rule="auto"/>
        <w:ind w:firstLine="540"/>
        <w:jc w:val="both"/>
      </w:pPr>
      <w:r>
        <w:rPr>
          <w:sz w:val="20"/>
        </w:rPr>
        <w:t xml:space="preserve">Комитет в срок не позднее трех рабочих дней с даты издания распоряжения размещает на едином портале и на официальном сайте комитета в информационно-телекоммуникационной сети "Интернет" информацию о результатах конкурсного отбора, включающую:</w:t>
      </w:r>
    </w:p>
    <w:p>
      <w:pPr>
        <w:pStyle w:val="0"/>
        <w:spacing w:before="200" w:line-rule="auto"/>
        <w:ind w:firstLine="540"/>
        <w:jc w:val="both"/>
      </w:pPr>
      <w:r>
        <w:rPr>
          <w:sz w:val="20"/>
        </w:rPr>
        <w:t xml:space="preserve">дату, время и место рассмотрения заявок на соответствие требованиям настоящего Порядка;</w:t>
      </w:r>
    </w:p>
    <w:p>
      <w:pPr>
        <w:pStyle w:val="0"/>
        <w:spacing w:before="200" w:line-rule="auto"/>
        <w:ind w:firstLine="540"/>
        <w:jc w:val="both"/>
      </w:pPr>
      <w:r>
        <w:rPr>
          <w:sz w:val="20"/>
        </w:rPr>
        <w:t xml:space="preserve">дату, время и место оценки заявок участников конкурсного отбора;</w:t>
      </w:r>
    </w:p>
    <w:p>
      <w:pPr>
        <w:pStyle w:val="0"/>
        <w:spacing w:before="200" w:line-rule="auto"/>
        <w:ind w:firstLine="540"/>
        <w:jc w:val="both"/>
      </w:pPr>
      <w:r>
        <w:rPr>
          <w:sz w:val="20"/>
        </w:rPr>
        <w:t xml:space="preserve">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2.16.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w:t>
      </w:r>
    </w:p>
    <w:p>
      <w:pPr>
        <w:pStyle w:val="0"/>
        <w:spacing w:before="200" w:line-rule="auto"/>
        <w:ind w:firstLine="540"/>
        <w:jc w:val="both"/>
      </w:pPr>
      <w:r>
        <w:rPr>
          <w:sz w:val="20"/>
        </w:rPr>
        <w:t xml:space="preserve">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pPr>
        <w:pStyle w:val="0"/>
        <w:spacing w:before="200" w:line-rule="auto"/>
        <w:ind w:firstLine="540"/>
        <w:jc w:val="both"/>
      </w:pPr>
      <w:r>
        <w:rPr>
          <w:sz w:val="20"/>
        </w:rPr>
        <w:t xml:space="preserve">2.17. Соглашение заключается комитетом не позднее 10 рабочих дней с даты издания распоряжения комитета.</w:t>
      </w:r>
    </w:p>
    <w:p>
      <w:pPr>
        <w:pStyle w:val="0"/>
        <w:spacing w:before="200" w:line-rule="auto"/>
        <w:ind w:firstLine="540"/>
        <w:jc w:val="both"/>
      </w:pPr>
      <w:r>
        <w:rPr>
          <w:sz w:val="20"/>
        </w:rPr>
        <w:t xml:space="preserve">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правовым актом Комитета финансов Ленинградской области.</w:t>
      </w:r>
    </w:p>
    <w:p>
      <w:pPr>
        <w:pStyle w:val="0"/>
        <w:spacing w:before="200" w:line-rule="auto"/>
        <w:ind w:firstLine="540"/>
        <w:jc w:val="both"/>
      </w:pPr>
      <w:r>
        <w:rPr>
          <w:sz w:val="20"/>
        </w:rPr>
        <w:t xml:space="preserve">2.18. В случае если совокупный размер субсидии, запрашиваемый победителями отбора согласно заявкам, не превышает лимитов бюджетных обязательств, доведенных до комитета, субсидии устанавливаются в запрашиваемых размерах.</w:t>
      </w:r>
    </w:p>
    <w:p>
      <w:pPr>
        <w:pStyle w:val="0"/>
        <w:spacing w:before="200" w:line-rule="auto"/>
        <w:ind w:firstLine="540"/>
        <w:jc w:val="both"/>
      </w:pPr>
      <w:r>
        <w:rPr>
          <w:sz w:val="20"/>
        </w:rPr>
        <w:t xml:space="preserve">2.19. В случае если совокупный размер субсидии, запрашиваемый победителями отбора согласно заявкам, превышает лимиты бюджетных обязательств, доведенных до комитета, размер субсидии победителя, набравшего минимальное количество баллов, с его письменного согласия снижается на размер превышения.</w:t>
      </w:r>
    </w:p>
    <w:p>
      <w:pPr>
        <w:pStyle w:val="0"/>
        <w:spacing w:before="200" w:line-rule="auto"/>
        <w:ind w:firstLine="540"/>
        <w:jc w:val="both"/>
      </w:pPr>
      <w:r>
        <w:rPr>
          <w:sz w:val="20"/>
        </w:rPr>
        <w:t xml:space="preserve">В случае отказа победителя отбора, имеющего наименьший балл, от снижения размера субсидии, получателем субсидии признается следующий участник, набравший наименьшее количество баллов.</w:t>
      </w:r>
    </w:p>
    <w:p>
      <w:pPr>
        <w:pStyle w:val="0"/>
        <w:spacing w:before="200" w:line-rule="auto"/>
        <w:ind w:firstLine="540"/>
        <w:jc w:val="both"/>
      </w:pPr>
      <w:r>
        <w:rPr>
          <w:sz w:val="20"/>
        </w:rPr>
        <w:t xml:space="preserve">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 которые были возвращены в областной бюджет, а также в случае увеличения бюджетных ассигнований комитет проводит дополнительный отбор в соответствии с настоящим Порядком.</w:t>
      </w:r>
    </w:p>
    <w:p>
      <w:pPr>
        <w:pStyle w:val="0"/>
        <w:spacing w:before="200" w:line-rule="auto"/>
        <w:ind w:firstLine="540"/>
        <w:jc w:val="both"/>
      </w:pPr>
      <w:r>
        <w:rPr>
          <w:sz w:val="20"/>
        </w:rPr>
        <w:t xml:space="preserve">2.20.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history="0" w:anchor="P1946" w:tooltip="1.3. Субсидии предоставляются на финансовое обеспечение поддержки общественных инициатив при реализации проектов, направленных на развитие туристической инфраструктуры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bookmarkStart w:id="2103" w:name="P2103"/>
    <w:bookmarkEnd w:id="2103"/>
    <w:p>
      <w:pPr>
        <w:pStyle w:val="0"/>
        <w:spacing w:before="200" w:line-rule="auto"/>
        <w:ind w:firstLine="540"/>
        <w:jc w:val="both"/>
      </w:pPr>
      <w:r>
        <w:rPr>
          <w:sz w:val="20"/>
        </w:rPr>
        <w:t xml:space="preserve">2.21. Планируемым результатом использования субсидии является количество общественных инициатив, направленных на развитие туристической инфраструктуры.</w:t>
      </w:r>
    </w:p>
    <w:bookmarkStart w:id="2104" w:name="P2104"/>
    <w:bookmarkEnd w:id="2104"/>
    <w:p>
      <w:pPr>
        <w:pStyle w:val="0"/>
        <w:spacing w:before="200" w:line-rule="auto"/>
        <w:ind w:firstLine="540"/>
        <w:jc w:val="both"/>
      </w:pPr>
      <w:r>
        <w:rPr>
          <w:sz w:val="20"/>
        </w:rPr>
        <w:t xml:space="preserve">2.22. Показателем, необходимым для достижения результата предоставления субсидии, является количество реализованных проектов.</w:t>
      </w:r>
    </w:p>
    <w:p>
      <w:pPr>
        <w:pStyle w:val="0"/>
        <w:spacing w:before="200" w:line-rule="auto"/>
        <w:ind w:firstLine="540"/>
        <w:jc w:val="both"/>
      </w:pPr>
      <w:r>
        <w:rPr>
          <w:sz w:val="20"/>
        </w:rPr>
        <w:t xml:space="preserve">Значение показателя устанавливается комитетом в соглашении.</w:t>
      </w:r>
    </w:p>
    <w:p>
      <w:pPr>
        <w:pStyle w:val="0"/>
        <w:spacing w:before="200" w:line-rule="auto"/>
        <w:ind w:firstLine="540"/>
        <w:jc w:val="both"/>
      </w:pPr>
      <w:r>
        <w:rPr>
          <w:sz w:val="20"/>
        </w:rPr>
        <w:t xml:space="preserve">2.23. Перечисление субсидии осуществляется Комитетом финансов Ленинградской области на основании заявки на расход, представленной комитетом, в соответствии с условиями соглашения, на:</w:t>
      </w:r>
    </w:p>
    <w:p>
      <w:pPr>
        <w:pStyle w:val="0"/>
        <w:spacing w:before="200" w:line-rule="auto"/>
        <w:ind w:firstLine="540"/>
        <w:jc w:val="both"/>
      </w:pPr>
      <w:r>
        <w:rPr>
          <w:sz w:val="20"/>
        </w:rPr>
        <w:t xml:space="preserve">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случае если средства не подлежат казначейскому сопровождению в соответствии с бюджетным законодательством Российской Федерации и Ленинградской области;</w:t>
      </w:r>
    </w:p>
    <w:p>
      <w:pPr>
        <w:pStyle w:val="0"/>
        <w:spacing w:before="200" w:line-rule="auto"/>
        <w:ind w:firstLine="540"/>
        <w:jc w:val="both"/>
      </w:pPr>
      <w:r>
        <w:rPr>
          <w:sz w:val="20"/>
        </w:rPr>
        <w:t xml:space="preserve">лицевые счета, открытые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 в случае если средства подлежат казначейскому сопровождению в соответствии с бюджетным законодательством.</w:t>
      </w:r>
    </w:p>
    <w:p>
      <w:pPr>
        <w:pStyle w:val="0"/>
        <w:spacing w:before="200" w:line-rule="auto"/>
        <w:ind w:firstLine="540"/>
        <w:jc w:val="both"/>
      </w:pPr>
      <w:r>
        <w:rPr>
          <w:sz w:val="20"/>
        </w:rPr>
        <w:t xml:space="preserve">В случае если средства субсидий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jc w:val="center"/>
      </w:pPr>
      <w:r>
        <w:rPr>
          <w:sz w:val="20"/>
        </w:rPr>
      </w:r>
    </w:p>
    <w:p>
      <w:pPr>
        <w:pStyle w:val="2"/>
        <w:outlineLvl w:val="2"/>
        <w:jc w:val="center"/>
      </w:pPr>
      <w:r>
        <w:rPr>
          <w:sz w:val="20"/>
        </w:rPr>
        <w:t xml:space="preserve">3. Требования к отчетности</w:t>
      </w:r>
    </w:p>
    <w:p>
      <w:pPr>
        <w:pStyle w:val="0"/>
        <w:jc w:val="center"/>
      </w:pPr>
      <w:r>
        <w:rPr>
          <w:sz w:val="20"/>
        </w:rPr>
      </w:r>
    </w:p>
    <w:p>
      <w:pPr>
        <w:pStyle w:val="0"/>
        <w:ind w:firstLine="540"/>
        <w:jc w:val="both"/>
      </w:pPr>
      <w:r>
        <w:rPr>
          <w:sz w:val="20"/>
        </w:rPr>
        <w:t xml:space="preserve">3.1.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history="0" w:anchor="P2103" w:tooltip="2.21. Планируемым результатом использования субсидии является количество общественных инициатив, направленных на развитие туристической инфраструктуры.">
        <w:r>
          <w:rPr>
            <w:sz w:val="20"/>
            <w:color w:val="0000ff"/>
          </w:rPr>
          <w:t xml:space="preserve">пунктами 2.21</w:t>
        </w:r>
      </w:hyperlink>
      <w:r>
        <w:rPr>
          <w:sz w:val="20"/>
        </w:rPr>
        <w:t xml:space="preserve"> и </w:t>
      </w:r>
      <w:hyperlink w:history="0" w:anchor="P2104" w:tooltip="2.22. Показателем, необходимым для достижения результата предоставления субсидии, является количество реализованных проектов.">
        <w:r>
          <w:rPr>
            <w:sz w:val="20"/>
            <w:color w:val="0000ff"/>
          </w:rPr>
          <w:t xml:space="preserve">2.22</w:t>
        </w:r>
      </w:hyperlink>
      <w:r>
        <w:rPr>
          <w:sz w:val="20"/>
        </w:rP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Министерства финансов Российской Федерации.</w:t>
      </w:r>
    </w:p>
    <w:p>
      <w:pPr>
        <w:pStyle w:val="0"/>
        <w:spacing w:before="200" w:line-rule="auto"/>
        <w:ind w:firstLine="540"/>
        <w:jc w:val="both"/>
      </w:pPr>
      <w:r>
        <w:rPr>
          <w:sz w:val="20"/>
        </w:rPr>
        <w:t xml:space="preserve">3.2. Сроки представления и формы дополнительной отчетности устанавливаются в соглашении.</w:t>
      </w:r>
    </w:p>
    <w:p>
      <w:pPr>
        <w:pStyle w:val="0"/>
        <w:jc w:val="center"/>
      </w:pPr>
      <w:r>
        <w:rPr>
          <w:sz w:val="20"/>
        </w:rPr>
      </w:r>
    </w:p>
    <w:p>
      <w:pPr>
        <w:pStyle w:val="2"/>
        <w:outlineLvl w:val="2"/>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4.1.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органом государственного финансового контроля Ленинградской области осуществляется проверка в соответствии со </w:t>
      </w:r>
      <w:hyperlink w:history="0" r:id="rId13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3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2121" w:name="P2121"/>
    <w:bookmarkEnd w:id="2121"/>
    <w:p>
      <w:pPr>
        <w:pStyle w:val="0"/>
        <w:spacing w:before="200" w:line-rule="auto"/>
        <w:ind w:firstLine="540"/>
        <w:jc w:val="both"/>
      </w:pPr>
      <w:r>
        <w:rPr>
          <w:sz w:val="20"/>
        </w:rPr>
        <w:t xml:space="preserve">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целей, порядка предоставления субсидии и заключенного соглашения, а также недостижения значений показателей результатов предоставления субсидии соответствующие средства подлежат возврату в доход областного бюджета Ленинградской области:</w:t>
      </w:r>
    </w:p>
    <w:p>
      <w:pPr>
        <w:pStyle w:val="0"/>
        <w:spacing w:before="200" w:line-rule="auto"/>
        <w:ind w:firstLine="540"/>
        <w:jc w:val="both"/>
      </w:pPr>
      <w:r>
        <w:rPr>
          <w:sz w:val="20"/>
        </w:rPr>
        <w:t xml:space="preserve">на основании письменного требования комитета - не позднее 10 рабочих дней с даты получения получателем субсидии указанного требования;</w:t>
      </w:r>
    </w:p>
    <w:p>
      <w:pPr>
        <w:pStyle w:val="0"/>
        <w:spacing w:before="200" w:line-rule="auto"/>
        <w:ind w:firstLine="540"/>
        <w:jc w:val="both"/>
      </w:pPr>
      <w:r>
        <w:rPr>
          <w:sz w:val="20"/>
        </w:rPr>
        <w:t xml:space="preserve">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pPr>
        <w:pStyle w:val="0"/>
        <w:spacing w:before="200" w:line-rule="auto"/>
        <w:ind w:firstLine="540"/>
        <w:jc w:val="both"/>
      </w:pPr>
      <w:r>
        <w:rPr>
          <w:sz w:val="20"/>
        </w:rPr>
        <w:t xml:space="preserve">4.3. В случае неперечисления получателем субсидии средств субсидии в областной бюджет в сроки, установленные </w:t>
      </w:r>
      <w:hyperlink w:history="0" w:anchor="P2121" w:tooltip="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целей, порядка предоставления субсидии и заключенного соглашения, а также недостижения значений показателей результатов предоставления субсидии соответствующие средства подлежат возврату в доход областного бюджета Ленинградской области:">
        <w:r>
          <w:rPr>
            <w:sz w:val="20"/>
            <w:color w:val="0000ff"/>
          </w:rPr>
          <w:t xml:space="preserve">пунктом 4.2</w:t>
        </w:r>
      </w:hyperlink>
      <w:r>
        <w:rPr>
          <w:sz w:val="20"/>
        </w:rPr>
        <w:t xml:space="preserve"> настоящего Порядка, взыскание денежных средств осуществляется в судебном порядке.</w:t>
      </w:r>
    </w:p>
    <w:p>
      <w:pPr>
        <w:pStyle w:val="0"/>
        <w:spacing w:before="200" w:line-rule="auto"/>
        <w:ind w:firstLine="540"/>
        <w:jc w:val="both"/>
      </w:pPr>
      <w:r>
        <w:rPr>
          <w:sz w:val="20"/>
        </w:rPr>
        <w:t xml:space="preserve">4.4. Возврат остатков субсидии, по которым принято решение о возврате, осуществляется получателем субсидии в порядке и сроки, установленные в соглашении, но не позднее 1 апреля текущего финансового года.</w:t>
      </w:r>
    </w:p>
    <w:p>
      <w:pPr>
        <w:pStyle w:val="0"/>
        <w:spacing w:before="200" w:line-rule="auto"/>
        <w:ind w:firstLine="540"/>
        <w:jc w:val="both"/>
      </w:pPr>
      <w:r>
        <w:rPr>
          <w:sz w:val="20"/>
        </w:rPr>
        <w:t xml:space="preserve">4.5.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center"/>
      </w:pPr>
      <w:r>
        <w:rPr>
          <w:sz w:val="20"/>
        </w:rPr>
      </w:r>
    </w:p>
    <w:bookmarkStart w:id="2135" w:name="P2135"/>
    <w:bookmarkEnd w:id="2135"/>
    <w:p>
      <w:pPr>
        <w:pStyle w:val="2"/>
        <w:jc w:val="center"/>
      </w:pPr>
      <w:r>
        <w:rPr>
          <w:sz w:val="20"/>
        </w:rPr>
        <w:t xml:space="preserve">ПОРЯДОК</w:t>
      </w:r>
    </w:p>
    <w:p>
      <w:pPr>
        <w:pStyle w:val="2"/>
        <w:jc w:val="center"/>
      </w:pPr>
      <w:r>
        <w:rPr>
          <w:sz w:val="20"/>
        </w:rPr>
        <w:t xml:space="preserve">ОПРЕДЕЛЕНИЯ ОБЪЕМА И ПРЕДОСТАВЛЕНИЯ ИЗ ОБЛАСТНОГО БЮДЖЕТА</w:t>
      </w:r>
    </w:p>
    <w:p>
      <w:pPr>
        <w:pStyle w:val="2"/>
        <w:jc w:val="center"/>
      </w:pPr>
      <w:r>
        <w:rPr>
          <w:sz w:val="20"/>
        </w:rPr>
        <w:t xml:space="preserve">ЛЕНИНГРАДСКОЙ ОБЛАСТИ СУБСИДИЙ ЮРИДИЧЕСКИМ ЛИЦАМ,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И ИНДИВИДУАЛЬНЫМ ПРЕДПРИНИМАТЕЛЯМ В ЦЕЛЯХ</w:t>
      </w:r>
    </w:p>
    <w:p>
      <w:pPr>
        <w:pStyle w:val="2"/>
        <w:jc w:val="center"/>
      </w:pPr>
      <w:r>
        <w:rPr>
          <w:sz w:val="20"/>
        </w:rPr>
        <w:t xml:space="preserve">ОБЕСПЕЧЕНИЯ ПОДДЕРЖКИ ОБЩЕСТВЕННЫХ ИНИЦИАТИВ НА СОЗДАНИЕ</w:t>
      </w:r>
    </w:p>
    <w:p>
      <w:pPr>
        <w:pStyle w:val="2"/>
        <w:jc w:val="center"/>
      </w:pPr>
      <w:r>
        <w:rPr>
          <w:sz w:val="20"/>
        </w:rPr>
        <w:t xml:space="preserve">МОДУЛЬНЫХ НЕКАПИТАЛЬНЫХ СРЕДСТВ РАЗМЕЩЕНИЯ (КЕМПИНГОВ</w:t>
      </w:r>
    </w:p>
    <w:p>
      <w:pPr>
        <w:pStyle w:val="2"/>
        <w:jc w:val="center"/>
      </w:pPr>
      <w:r>
        <w:rPr>
          <w:sz w:val="20"/>
        </w:rPr>
        <w:t xml:space="preserve">И АВТОКЕМПИНГОВ) НА ТЕРРИТОРИИ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3" w:tooltip="Постановление Правительства Ленинградской области от 21.06.2023 N 414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21.06.2023 N 414)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на обеспечение поддержки общественных инициатив на создание модульных некапитальных средств размещения (кемпингов и автокемпингов) на территории Ленинградской области, в рамках структурного элемента "Федеральный (региональный) проект "Развитие туристической инфраструктуры" государственной программы Ленинградской области "Развитие внутреннего и въездного туризма в Ленинградской области" (далее - субсидии, проекты).</w:t>
      </w:r>
    </w:p>
    <w:p>
      <w:pPr>
        <w:pStyle w:val="0"/>
        <w:spacing w:before="200" w:line-rule="auto"/>
        <w:ind w:firstLine="540"/>
        <w:jc w:val="both"/>
      </w:pPr>
      <w:r>
        <w:rPr>
          <w:sz w:val="20"/>
        </w:rPr>
        <w:t xml:space="preserve">1.2. В настоящем Порядке применяются следующие основные понятия:</w:t>
      </w:r>
    </w:p>
    <w:p>
      <w:pPr>
        <w:pStyle w:val="0"/>
        <w:spacing w:before="200" w:line-rule="auto"/>
        <w:ind w:firstLine="540"/>
        <w:jc w:val="both"/>
      </w:pPr>
      <w:r>
        <w:rPr>
          <w:sz w:val="20"/>
        </w:rPr>
        <w:t xml:space="preserve">главный распорядитель бюджетных средств - комитет по культуре и туризму Ленинградской области (далее - комитет);</w:t>
      </w:r>
    </w:p>
    <w:p>
      <w:pPr>
        <w:pStyle w:val="0"/>
        <w:spacing w:before="200" w:line-rule="auto"/>
        <w:ind w:firstLine="540"/>
        <w:jc w:val="both"/>
      </w:pPr>
      <w:r>
        <w:rPr>
          <w:sz w:val="20"/>
        </w:rPr>
        <w:t xml:space="preserve">конкурсная комиссия - коллегиальный орган, образованный для проведения конкурсного отбора. Состав и положение о конкурсной комиссии утверждаются правовыми актами комитета;</w:t>
      </w:r>
    </w:p>
    <w:p>
      <w:pPr>
        <w:pStyle w:val="0"/>
        <w:spacing w:before="200" w:line-rule="auto"/>
        <w:ind w:firstLine="540"/>
        <w:jc w:val="both"/>
      </w:pPr>
      <w:r>
        <w:rPr>
          <w:sz w:val="20"/>
        </w:rPr>
        <w:t xml:space="preserve">проект - комплекс взаимосвязанных мероприятий, направленных на развитие туристической инфраструктуры на территории Ленинградской области по одному из направлений, указанных в </w:t>
      </w:r>
      <w:hyperlink w:history="0" w:anchor="P2156" w:tooltip="1.3. Субсидии предоставляются на финансовое обеспечение поддержки общественных инициатив, в рамках которых реализуются мероприятия, направленные на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модульные некапитальные средства размещения (кемпинги и автокемпинги) (далее - модульные некапитальные средства размещения) - не относящиеся к объектам капитального строительства объекты, прочно не связанные с землей - строения, сооружения (сборно-разборные быстровозводимые каркасные конструкции, модули, боксы) заводского производства, для создания которых не требуется разрешение на строительство, демонтаж которых возможен без нанесения ущерба их назначению, а также являющиеся пригодными для организации круглогодичного пребывания (ночлега) людей в них, отвечающие необходимым пожарным и санитарным требованиям.</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bookmarkStart w:id="2156" w:name="P2156"/>
    <w:bookmarkEnd w:id="2156"/>
    <w:p>
      <w:pPr>
        <w:pStyle w:val="0"/>
        <w:spacing w:before="200" w:line-rule="auto"/>
        <w:ind w:firstLine="540"/>
        <w:jc w:val="both"/>
      </w:pPr>
      <w:r>
        <w:rPr>
          <w:sz w:val="20"/>
        </w:rPr>
        <w:t xml:space="preserve">1.3. Субсидии предоставляются на финансовое обеспечение поддержки общественных инициатив, в рамках которых реализуются мероприятия, направленные на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 на территории Ленинградской области.</w:t>
      </w:r>
    </w:p>
    <w:p>
      <w:pPr>
        <w:pStyle w:val="0"/>
        <w:spacing w:before="200" w:line-rule="auto"/>
        <w:ind w:firstLine="540"/>
        <w:jc w:val="both"/>
      </w:pPr>
      <w:r>
        <w:rPr>
          <w:sz w:val="20"/>
        </w:rPr>
        <w:t xml:space="preserve">1.4.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history="0" w:anchor="P2156" w:tooltip="1.3. Субсидии предоставляются на финансовое обеспечение поддержки общественных инициатив, в рамках которых реализуются мероприятия, направленные на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
        <w:r>
          <w:rPr>
            <w:sz w:val="20"/>
            <w:color w:val="0000ff"/>
          </w:rPr>
          <w:t xml:space="preserve">пункте 1.3</w:t>
        </w:r>
      </w:hyperlink>
      <w:r>
        <w:rPr>
          <w:sz w:val="20"/>
        </w:rPr>
        <w:t xml:space="preserve"> настоящего Порядка.</w:t>
      </w:r>
    </w:p>
    <w:bookmarkStart w:id="2158" w:name="P2158"/>
    <w:bookmarkEnd w:id="2158"/>
    <w:p>
      <w:pPr>
        <w:pStyle w:val="0"/>
        <w:spacing w:before="200" w:line-rule="auto"/>
        <w:ind w:firstLine="540"/>
        <w:jc w:val="both"/>
      </w:pPr>
      <w:r>
        <w:rPr>
          <w:sz w:val="20"/>
        </w:rPr>
        <w:t xml:space="preserve">1.5. Категория получателей субсидий - юридические лица, не являющиеся государственными (муниципальными) учреждениями, и индивидуальные предприниматели, зарегистрированные на территории Ленинградской области в порядке, установленном законодательством Российской Федерации, реализующие проекты, указанные в </w:t>
      </w:r>
      <w:hyperlink w:history="0" w:anchor="P2156" w:tooltip="1.3. Субсидии предоставляются на финансовое обеспечение поддержки общественных инициатив, в рамках которых реализуются мероприятия, направленные на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
        <w:r>
          <w:rPr>
            <w:sz w:val="20"/>
            <w:color w:val="0000ff"/>
          </w:rPr>
          <w:t xml:space="preserve">пункте 1.3</w:t>
        </w:r>
      </w:hyperlink>
      <w:r>
        <w:rPr>
          <w:sz w:val="20"/>
        </w:rPr>
        <w:t xml:space="preserve"> настоящего Порядка (далее - участники конкурсного отбора, получатели субсидий).</w:t>
      </w:r>
    </w:p>
    <w:p>
      <w:pPr>
        <w:pStyle w:val="0"/>
        <w:spacing w:before="200" w:line-rule="auto"/>
        <w:ind w:firstLine="540"/>
        <w:jc w:val="both"/>
      </w:pPr>
      <w:r>
        <w:rPr>
          <w:sz w:val="20"/>
        </w:rPr>
        <w:t xml:space="preserve">1.6. Способом отбора получателей субсидии является конкурс (далее - конкурсный отбор).</w:t>
      </w:r>
    </w:p>
    <w:p>
      <w:pPr>
        <w:pStyle w:val="0"/>
        <w:spacing w:before="200" w:line-rule="auto"/>
        <w:ind w:firstLine="540"/>
        <w:jc w:val="both"/>
      </w:pPr>
      <w:r>
        <w:rPr>
          <w:sz w:val="20"/>
        </w:rPr>
        <w:t xml:space="preserve">1.7.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pPr>
        <w:pStyle w:val="0"/>
        <w:jc w:val="center"/>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r>
    </w:p>
    <w:bookmarkStart w:id="2164" w:name="P2164"/>
    <w:bookmarkEnd w:id="2164"/>
    <w:p>
      <w:pPr>
        <w:pStyle w:val="0"/>
        <w:ind w:firstLine="540"/>
        <w:jc w:val="both"/>
      </w:pPr>
      <w:r>
        <w:rPr>
          <w:sz w:val="20"/>
        </w:rPr>
        <w:t xml:space="preserve">2.1. Субсидии предоставляются при соблюдении следующих требований:</w:t>
      </w:r>
    </w:p>
    <w:p>
      <w:pPr>
        <w:pStyle w:val="0"/>
        <w:spacing w:before="200" w:line-rule="auto"/>
        <w:ind w:firstLine="540"/>
        <w:jc w:val="both"/>
      </w:pPr>
      <w:r>
        <w:rPr>
          <w:sz w:val="20"/>
        </w:rPr>
        <w:t xml:space="preserve">1) соответствие участника конкурсного отбора категории, установленной </w:t>
      </w:r>
      <w:hyperlink w:history="0" w:anchor="P2158" w:tooltip="1.5. Категория получателей субсидий - юридические лица, не являющиеся государственными (муниципальными) учреждениями, и индивидуальные предприниматели, зарегистрированные на территории Ленинградской области в порядке, установленном законодательством Российской Федерации, реализующие проекты, указанные в пункте 1.3 настоящего Порядка (далее - участники конкурсного отбора, получатели субсидий).">
        <w:r>
          <w:rPr>
            <w:sz w:val="20"/>
            <w:color w:val="0000ff"/>
          </w:rPr>
          <w:t xml:space="preserve">пунктом 1.5</w:t>
        </w:r>
      </w:hyperlink>
      <w:r>
        <w:rPr>
          <w:sz w:val="20"/>
        </w:rPr>
        <w:t xml:space="preserve"> настоящего Порядка;</w:t>
      </w:r>
    </w:p>
    <w:bookmarkStart w:id="2166" w:name="P2166"/>
    <w:bookmarkEnd w:id="2166"/>
    <w:p>
      <w:pPr>
        <w:pStyle w:val="0"/>
        <w:spacing w:before="200" w:line-rule="auto"/>
        <w:ind w:firstLine="540"/>
        <w:jc w:val="both"/>
      </w:pPr>
      <w:r>
        <w:rPr>
          <w:sz w:val="20"/>
        </w:rPr>
        <w:t xml:space="preserve">2) соответствие участника конкурсного отбора по состоянию на дату подачи заявки следующим требованиям:</w:t>
      </w:r>
    </w:p>
    <w:p>
      <w:pPr>
        <w:pStyle w:val="0"/>
        <w:spacing w:before="200" w:line-rule="auto"/>
        <w:ind w:firstLine="540"/>
        <w:jc w:val="both"/>
      </w:pPr>
      <w:r>
        <w:rPr>
          <w:sz w:val="20"/>
        </w:rPr>
        <w:t xml:space="preserve">а)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pPr>
        <w:pStyle w:val="0"/>
        <w:spacing w:before="200" w:line-rule="auto"/>
        <w:ind w:firstLine="540"/>
        <w:jc w:val="both"/>
      </w:pPr>
      <w:r>
        <w:rPr>
          <w:sz w:val="20"/>
        </w:rPr>
        <w:t xml:space="preserve">б)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участник конкурсного отбора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г) участник конкурсного отбора не должен находиться в реестре недобросовестных поставщиков;</w:t>
      </w:r>
    </w:p>
    <w:p>
      <w:pPr>
        <w:pStyle w:val="0"/>
        <w:spacing w:before="200" w:line-rule="auto"/>
        <w:ind w:firstLine="540"/>
        <w:jc w:val="both"/>
      </w:pPr>
      <w:r>
        <w:rPr>
          <w:sz w:val="20"/>
        </w:rPr>
        <w:t xml:space="preserve">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pPr>
        <w:pStyle w:val="0"/>
        <w:spacing w:before="200" w:line-rule="auto"/>
        <w:ind w:firstLine="540"/>
        <w:jc w:val="both"/>
      </w:pPr>
      <w:r>
        <w:rPr>
          <w:sz w:val="20"/>
        </w:rPr>
        <w:t xml:space="preserve">е) участник конкурсного отбора не имеет задолженности перед работниками по заработной плате;</w:t>
      </w:r>
    </w:p>
    <w:p>
      <w:pPr>
        <w:pStyle w:val="0"/>
        <w:spacing w:before="200" w:line-rule="auto"/>
        <w:ind w:firstLine="540"/>
        <w:jc w:val="both"/>
      </w:pPr>
      <w:r>
        <w:rPr>
          <w:sz w:val="20"/>
        </w:rPr>
        <w:t xml:space="preserve">ж) при наличии у участника конкурсного отбора наемных работников их заработная плата должна быть не ниже размера, установленного региональным соглашением о минимальной заработной плате в Ленинградской области;</w:t>
      </w:r>
    </w:p>
    <w:p>
      <w:pPr>
        <w:pStyle w:val="0"/>
        <w:spacing w:before="200" w:line-rule="auto"/>
        <w:ind w:firstLine="540"/>
        <w:jc w:val="both"/>
      </w:pPr>
      <w:r>
        <w:rPr>
          <w:sz w:val="20"/>
        </w:rPr>
        <w:t xml:space="preserve">з)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 у участника конкурсного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налоговым органом на основании запроса комитета, направленного в течение двух рабочих дней со дня окончания срока приема заявок, справки об исполнении обязанности по уплате налогов, сборов, пеней, штрафов, процентов;</w:t>
      </w:r>
    </w:p>
    <w:p>
      <w:pPr>
        <w:pStyle w:val="0"/>
        <w:spacing w:before="200" w:line-rule="auto"/>
        <w:ind w:firstLine="540"/>
        <w:jc w:val="both"/>
      </w:pPr>
      <w:r>
        <w:rPr>
          <w:sz w:val="20"/>
        </w:rPr>
        <w:t xml:space="preserve">4)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pPr>
        <w:pStyle w:val="0"/>
        <w:spacing w:before="200" w:line-rule="auto"/>
        <w:ind w:firstLine="540"/>
        <w:jc w:val="both"/>
      </w:pPr>
      <w:r>
        <w:rPr>
          <w:sz w:val="20"/>
        </w:rPr>
        <w:t xml:space="preserve">5) согласие получателя субсидии 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w:history="0" r:id="rId13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3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6) соблюдение получателем субсидии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pPr>
        <w:pStyle w:val="0"/>
        <w:spacing w:before="200" w:line-rule="auto"/>
        <w:ind w:firstLine="540"/>
        <w:jc w:val="both"/>
      </w:pPr>
      <w:r>
        <w:rPr>
          <w:sz w:val="20"/>
        </w:rPr>
        <w:t xml:space="preserve">7)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pPr>
        <w:pStyle w:val="0"/>
        <w:spacing w:before="200" w:line-rule="auto"/>
        <w:ind w:firstLine="540"/>
        <w:jc w:val="both"/>
      </w:pPr>
      <w:r>
        <w:rPr>
          <w:sz w:val="20"/>
        </w:rPr>
        <w:t xml:space="preserve">8) представление документов, указанных в </w:t>
      </w:r>
      <w:hyperlink w:history="0" w:anchor="P2204" w:tooltip="2.5. Для участия в конкурсном отборе участник представляет в комитет заявку, включающую следующие документы:">
        <w:r>
          <w:rPr>
            <w:sz w:val="20"/>
            <w:color w:val="0000ff"/>
          </w:rPr>
          <w:t xml:space="preserve">пункте 2.5</w:t>
        </w:r>
      </w:hyperlink>
      <w:r>
        <w:rPr>
          <w:sz w:val="20"/>
        </w:rPr>
        <w:t xml:space="preserve"> настоящего Порядка, в сроки, определенные в соответствии с </w:t>
      </w:r>
      <w:hyperlink w:history="0" w:anchor="P2187" w:tooltip="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quot;Интернет&quot;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
        <w:r>
          <w:rPr>
            <w:sz w:val="20"/>
            <w:color w:val="0000ff"/>
          </w:rPr>
          <w:t xml:space="preserve">пунктом 2.4</w:t>
        </w:r>
      </w:hyperlink>
      <w:r>
        <w:rPr>
          <w:sz w:val="20"/>
        </w:rPr>
        <w:t xml:space="preserve"> настоящего Порядка.</w:t>
      </w:r>
    </w:p>
    <w:bookmarkStart w:id="2181" w:name="P2181"/>
    <w:bookmarkEnd w:id="2181"/>
    <w:p>
      <w:pPr>
        <w:pStyle w:val="0"/>
        <w:spacing w:before="200" w:line-rule="auto"/>
        <w:ind w:firstLine="540"/>
        <w:jc w:val="both"/>
      </w:pPr>
      <w:r>
        <w:rPr>
          <w:sz w:val="20"/>
        </w:rPr>
        <w:t xml:space="preserve">2.2. Субсидии предоставляются на финансовое обеспечение затрат, связанных с реализацией проекта или отдельных мероприятий проекта, по следующим направлениям расходов: оплата труда работников, включая налог на доходы физических лиц, страховые взносы (начисления на оплату труда) в государственные внебюджетные фонды работников; оплата товаров; оплата работ; оплата услуг (услуги связи, транспортные услуги, арендная плата за пользование имуществом); на приобретение нефинансовых активов, в том числе на приобретение объектов интеллектуальной собственности, информационного и компьютерного телекоммуникационного оборудования и прочего оборудования, включая хозяйственный инвентарь, используемого для реализации проекта.</w:t>
      </w:r>
    </w:p>
    <w:p>
      <w:pPr>
        <w:pStyle w:val="0"/>
        <w:spacing w:before="200" w:line-rule="auto"/>
        <w:ind w:firstLine="540"/>
        <w:jc w:val="both"/>
      </w:pPr>
      <w:r>
        <w:rPr>
          <w:sz w:val="20"/>
        </w:rPr>
        <w:t xml:space="preserve">2.2.1. Субсидии не предоставляются на финансовое обеспечение затрат:</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 не связанной с реализацией проекта;</w:t>
      </w:r>
    </w:p>
    <w:p>
      <w:pPr>
        <w:pStyle w:val="0"/>
        <w:spacing w:before="200" w:line-rule="auto"/>
        <w:ind w:firstLine="540"/>
        <w:jc w:val="both"/>
      </w:pPr>
      <w:r>
        <w:rPr>
          <w:sz w:val="20"/>
        </w:rPr>
        <w:t xml:space="preserve">связанных с осуществлением деятельности, не связанной с реализацией проекта;</w:t>
      </w:r>
    </w:p>
    <w:p>
      <w:pPr>
        <w:pStyle w:val="0"/>
        <w:spacing w:before="200" w:line-rule="auto"/>
        <w:ind w:firstLine="540"/>
        <w:jc w:val="both"/>
      </w:pPr>
      <w:r>
        <w:rPr>
          <w:sz w:val="20"/>
        </w:rPr>
        <w:t xml:space="preserve">на оплату кредитов и займов.</w:t>
      </w:r>
    </w:p>
    <w:p>
      <w:pPr>
        <w:pStyle w:val="0"/>
        <w:spacing w:before="200" w:line-rule="auto"/>
        <w:ind w:firstLine="540"/>
        <w:jc w:val="both"/>
      </w:pPr>
      <w:r>
        <w:rPr>
          <w:sz w:val="20"/>
        </w:rPr>
        <w:t xml:space="preserve">2.3. Субсидии предоставляются по результатам конкурсного отбора.</w:t>
      </w:r>
    </w:p>
    <w:bookmarkStart w:id="2187" w:name="P2187"/>
    <w:bookmarkEnd w:id="2187"/>
    <w:p>
      <w:pPr>
        <w:pStyle w:val="0"/>
        <w:spacing w:before="200" w:line-rule="auto"/>
        <w:ind w:firstLine="540"/>
        <w:jc w:val="both"/>
      </w:pPr>
      <w:r>
        <w:rPr>
          <w:sz w:val="20"/>
        </w:rPr>
        <w:t xml:space="preserve">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w:t>
      </w:r>
    </w:p>
    <w:p>
      <w:pPr>
        <w:pStyle w:val="0"/>
        <w:spacing w:before="200" w:line-rule="auto"/>
        <w:ind w:firstLine="540"/>
        <w:jc w:val="both"/>
      </w:pPr>
      <w:r>
        <w:rPr>
          <w:sz w:val="20"/>
        </w:rPr>
        <w:t xml:space="preserve">а) срок проведения конкурсного отбора;</w:t>
      </w:r>
    </w:p>
    <w:p>
      <w:pPr>
        <w:pStyle w:val="0"/>
        <w:spacing w:before="200" w:line-rule="auto"/>
        <w:ind w:firstLine="540"/>
        <w:jc w:val="both"/>
      </w:pPr>
      <w:r>
        <w:rPr>
          <w:sz w:val="20"/>
        </w:rPr>
        <w:t xml:space="preserve">б) дата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в) 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г) результаты предоставления субсидий в соответствии с </w:t>
      </w:r>
      <w:hyperlink w:history="0" w:anchor="P2328" w:tooltip="2.21. Планируемым результатом использования субсидии является количество общественных инициатив, направленных на создание модульных некапитальных средств размещения (кемпингов и автокемпингов).">
        <w:r>
          <w:rPr>
            <w:sz w:val="20"/>
            <w:color w:val="0000ff"/>
          </w:rPr>
          <w:t xml:space="preserve">пунктом 2.21</w:t>
        </w:r>
      </w:hyperlink>
      <w:r>
        <w:rPr>
          <w:sz w:val="20"/>
        </w:rPr>
        <w:t xml:space="preserve"> настоящего Порядка;</w:t>
      </w:r>
    </w:p>
    <w:p>
      <w:pPr>
        <w:pStyle w:val="0"/>
        <w:spacing w:before="200" w:line-rule="auto"/>
        <w:ind w:firstLine="540"/>
        <w:jc w:val="both"/>
      </w:pPr>
      <w:r>
        <w:rPr>
          <w:sz w:val="20"/>
        </w:rPr>
        <w:t xml:space="preserve">д) максимальный размер субсидий на один проект;</w:t>
      </w:r>
    </w:p>
    <w:p>
      <w:pPr>
        <w:pStyle w:val="0"/>
        <w:spacing w:before="200" w:line-rule="auto"/>
        <w:ind w:firstLine="540"/>
        <w:jc w:val="both"/>
      </w:pPr>
      <w:r>
        <w:rPr>
          <w:sz w:val="20"/>
        </w:rPr>
        <w:t xml:space="preserve">е)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ж) требования к участникам конкурсного отбора в соответствии с </w:t>
      </w:r>
      <w:hyperlink w:history="0" w:anchor="P2164" w:tooltip="2.1. Субсидии предоставляются при соблюдении следующих требований:">
        <w:r>
          <w:rPr>
            <w:sz w:val="20"/>
            <w:color w:val="0000ff"/>
          </w:rPr>
          <w:t xml:space="preserve">пунктом 2.1</w:t>
        </w:r>
      </w:hyperlink>
      <w:r>
        <w:rPr>
          <w:sz w:val="20"/>
        </w:rPr>
        <w:t xml:space="preserve"> настоящего Порядка и перечень документов, представляемых участниками конкурсного отбора для подтверждения их соответствия указанным требованиям в соответствии с </w:t>
      </w:r>
      <w:hyperlink w:history="0" w:anchor="P2204"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з)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pPr>
        <w:pStyle w:val="0"/>
        <w:spacing w:before="200" w:line-rule="auto"/>
        <w:ind w:firstLine="540"/>
        <w:jc w:val="both"/>
      </w:pPr>
      <w:r>
        <w:rPr>
          <w:sz w:val="20"/>
        </w:rPr>
        <w:t xml:space="preserve">и)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pPr>
        <w:pStyle w:val="0"/>
        <w:spacing w:before="200" w:line-rule="auto"/>
        <w:ind w:firstLine="540"/>
        <w:jc w:val="both"/>
      </w:pPr>
      <w:r>
        <w:rPr>
          <w:sz w:val="20"/>
        </w:rPr>
        <w:t xml:space="preserve">к) правила рассмотрения и оценки заявок участников конкурсного отбора;</w:t>
      </w:r>
    </w:p>
    <w:p>
      <w:pPr>
        <w:pStyle w:val="0"/>
        <w:spacing w:before="200" w:line-rule="auto"/>
        <w:ind w:firstLine="540"/>
        <w:jc w:val="both"/>
      </w:pPr>
      <w:r>
        <w:rPr>
          <w:sz w:val="20"/>
        </w:rPr>
        <w:t xml:space="preserve">л) 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м) срок, в течение которого победители конкурсного отбора должны подписать соглашения о предоставлении субсидии;</w:t>
      </w:r>
    </w:p>
    <w:p>
      <w:pPr>
        <w:pStyle w:val="0"/>
        <w:spacing w:before="200" w:line-rule="auto"/>
        <w:ind w:firstLine="540"/>
        <w:jc w:val="both"/>
      </w:pPr>
      <w:r>
        <w:rPr>
          <w:sz w:val="20"/>
        </w:rPr>
        <w:t xml:space="preserve">н) условия признания победителя (победителей) конкурсного отбора уклонившимся (уклонившимися) от заключения соглашения;</w:t>
      </w:r>
    </w:p>
    <w:p>
      <w:pPr>
        <w:pStyle w:val="0"/>
        <w:spacing w:before="200" w:line-rule="auto"/>
        <w:ind w:firstLine="540"/>
        <w:jc w:val="both"/>
      </w:pPr>
      <w:r>
        <w:rPr>
          <w:sz w:val="20"/>
        </w:rPr>
        <w:t xml:space="preserve">о) дату размещения результатов конкурсного отбора на едином портале и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Размещение объявления о проведении конкурсного отбора осуществляет секретарь комиссии.</w:t>
      </w:r>
    </w:p>
    <w:p>
      <w:pPr>
        <w:pStyle w:val="0"/>
        <w:spacing w:before="200" w:line-rule="auto"/>
        <w:ind w:firstLine="540"/>
        <w:jc w:val="both"/>
      </w:pPr>
      <w:r>
        <w:rPr>
          <w:sz w:val="20"/>
        </w:rPr>
        <w:t xml:space="preserve">Поступающие заявки регистрируются в соответствующем журнале в день поступления в комитет.</w:t>
      </w:r>
    </w:p>
    <w:bookmarkStart w:id="2204" w:name="P2204"/>
    <w:bookmarkEnd w:id="2204"/>
    <w:p>
      <w:pPr>
        <w:pStyle w:val="0"/>
        <w:spacing w:before="200" w:line-rule="auto"/>
        <w:ind w:firstLine="540"/>
        <w:jc w:val="both"/>
      </w:pPr>
      <w:r>
        <w:rPr>
          <w:sz w:val="20"/>
        </w:rPr>
        <w:t xml:space="preserve">2.5. Для участия в конкурсном отборе участник представляет в комитет заявку, включающую следующие документы:</w:t>
      </w:r>
    </w:p>
    <w:p>
      <w:pPr>
        <w:pStyle w:val="0"/>
        <w:spacing w:before="200" w:line-rule="auto"/>
        <w:ind w:firstLine="540"/>
        <w:jc w:val="both"/>
      </w:pPr>
      <w:r>
        <w:rPr>
          <w:sz w:val="20"/>
        </w:rPr>
        <w:t xml:space="preserve">а) заявление на предоставление субсидии по форме, утвержденной правовым актом комитета;</w:t>
      </w:r>
    </w:p>
    <w:p>
      <w:pPr>
        <w:pStyle w:val="0"/>
        <w:spacing w:before="200" w:line-rule="auto"/>
        <w:ind w:firstLine="540"/>
        <w:jc w:val="both"/>
      </w:pPr>
      <w:r>
        <w:rPr>
          <w:sz w:val="20"/>
        </w:rPr>
        <w:t xml:space="preserve">б) письмо о возможности рассмотрения проекта от администрации муниципального образования Ленинградской области (муниципального района, городского округа) (при наличии);</w:t>
      </w:r>
    </w:p>
    <w:p>
      <w:pPr>
        <w:pStyle w:val="0"/>
        <w:spacing w:before="200" w:line-rule="auto"/>
        <w:ind w:firstLine="540"/>
        <w:jc w:val="both"/>
      </w:pPr>
      <w:r>
        <w:rPr>
          <w:sz w:val="20"/>
        </w:rPr>
        <w:t xml:space="preserve">в) справку, заверенную подписями руководителя (лица, действующего без доверенности), главного бухгалтера и печатью (при наличии), о соответствии участника конкурсного отбора требованиям, указанным в </w:t>
      </w:r>
      <w:hyperlink w:history="0" w:anchor="P2166" w:tooltip="2) соответствие участника конкурсного отбора по состоянию на дату подачи заявки следующим требованиям:">
        <w:r>
          <w:rPr>
            <w:sz w:val="20"/>
            <w:color w:val="0000ff"/>
          </w:rPr>
          <w:t xml:space="preserve">подпункте 2 пункта 2.1</w:t>
        </w:r>
      </w:hyperlink>
      <w:r>
        <w:rPr>
          <w:sz w:val="20"/>
        </w:rPr>
        <w:t xml:space="preserve"> настоящего Порядка;</w:t>
      </w:r>
    </w:p>
    <w:p>
      <w:pPr>
        <w:pStyle w:val="0"/>
        <w:spacing w:before="200" w:line-rule="auto"/>
        <w:ind w:firstLine="540"/>
        <w:jc w:val="both"/>
      </w:pPr>
      <w:r>
        <w:rPr>
          <w:sz w:val="20"/>
        </w:rPr>
        <w:t xml:space="preserve">г) копию документа, подтверждающего полномочия руководителя, заверенную подписью руководителя и печатью (при наличии) (для индивидуальных предпринимателей);</w:t>
      </w:r>
    </w:p>
    <w:p>
      <w:pPr>
        <w:pStyle w:val="0"/>
        <w:spacing w:before="200" w:line-rule="auto"/>
        <w:ind w:firstLine="540"/>
        <w:jc w:val="both"/>
      </w:pPr>
      <w:r>
        <w:rPr>
          <w:sz w:val="20"/>
        </w:rPr>
        <w:t xml:space="preserve">д) презентацию проекта с кратким описанием, включая информацию о целях, задачах, расчетах, ожидаемом результате реализации проекта (в объеме не более 10 слайдов);</w:t>
      </w:r>
    </w:p>
    <w:bookmarkStart w:id="2210" w:name="P2210"/>
    <w:bookmarkEnd w:id="2210"/>
    <w:p>
      <w:pPr>
        <w:pStyle w:val="0"/>
        <w:spacing w:before="200" w:line-rule="auto"/>
        <w:ind w:firstLine="540"/>
        <w:jc w:val="both"/>
      </w:pPr>
      <w:r>
        <w:rPr>
          <w:sz w:val="20"/>
        </w:rPr>
        <w:t xml:space="preserve">е) копии правоустанавливающих документов, подтверждающих право собственности или иное законное право участника конкурсного отбора на земельный участок, права на которые не зарегистрированы в Едином государственном реестре недвижимости (при наличии);</w:t>
      </w:r>
    </w:p>
    <w:p>
      <w:pPr>
        <w:pStyle w:val="0"/>
        <w:spacing w:before="200" w:line-rule="auto"/>
        <w:ind w:firstLine="540"/>
        <w:jc w:val="both"/>
      </w:pPr>
      <w:r>
        <w:rPr>
          <w:sz w:val="20"/>
        </w:rPr>
        <w:t xml:space="preserve">ж) сметный расчет с обоснованием стоимости затрат на реализацию проекта, указанных в </w:t>
      </w:r>
      <w:hyperlink w:history="0" w:anchor="P2181" w:tooltip="2.2. Субсидии предоставляются на финансовое обеспечение затрат, связанных с реализацией проекта или отдельных мероприятий проекта, по следующим направлениям расходов: оплата труда работников, включая налог на доходы физических лиц, страховые взносы (начисления на оплату труда) в государственные внебюджетные фонды работников; оплата товаров; оплата работ; оплата услуг (услуги связи, транспортные услуги, арендная плата за пользование имуществом); на приобретение нефинансовых активов, в том числе на приобре...">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2.5.1. Комитет запрашивает:</w:t>
      </w:r>
    </w:p>
    <w:p>
      <w:pPr>
        <w:pStyle w:val="0"/>
        <w:spacing w:before="200" w:line-rule="auto"/>
        <w:ind w:firstLine="540"/>
        <w:jc w:val="both"/>
      </w:pPr>
      <w:r>
        <w:rPr>
          <w:sz w:val="20"/>
        </w:rPr>
        <w:t xml:space="preserve">а) в порядке информационного взаимодействия с другими органами государственной власти и организациями:</w:t>
      </w:r>
    </w:p>
    <w:p>
      <w:pPr>
        <w:pStyle w:val="0"/>
        <w:spacing w:before="200" w:line-rule="auto"/>
        <w:ind w:firstLine="540"/>
        <w:jc w:val="both"/>
      </w:pPr>
      <w:r>
        <w:rPr>
          <w:sz w:val="20"/>
        </w:rPr>
        <w:t xml:space="preserve">подтверждение отсутствия участника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spacing w:before="200" w:line-rule="auto"/>
        <w:ind w:firstLine="540"/>
        <w:jc w:val="both"/>
      </w:pPr>
      <w:r>
        <w:rPr>
          <w:sz w:val="20"/>
        </w:rPr>
        <w:t xml:space="preserve">б) через портал системы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w:t>
      </w:r>
    </w:p>
    <w:p>
      <w:pPr>
        <w:pStyle w:val="0"/>
        <w:spacing w:before="200" w:line-rule="auto"/>
        <w:ind w:firstLine="540"/>
        <w:jc w:val="both"/>
      </w:pPr>
      <w:r>
        <w:rPr>
          <w:sz w:val="20"/>
        </w:rPr>
        <w:t xml:space="preserve">выписку из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копии документов, подтверждающих право участника конкурсного отбора использовать земельный участок, на котором будут размещены модульные некапитальные средства размещения, в случае непредставления документа, указанного в </w:t>
      </w:r>
      <w:hyperlink w:history="0" w:anchor="P2210" w:tooltip="е) копии правоустанавливающих документов, подтверждающих право собственности или иное законное право участника конкурсного отбора на земельный участок, права на которые не зарегистрированы в Едином государственном реестре недвижимости (при наличии);">
        <w:r>
          <w:rPr>
            <w:sz w:val="20"/>
            <w:color w:val="0000ff"/>
          </w:rPr>
          <w:t xml:space="preserve">подпункте "е" пункта 2.5</w:t>
        </w:r>
      </w:hyperlink>
      <w:r>
        <w:rPr>
          <w:sz w:val="20"/>
        </w:rPr>
        <w:t xml:space="preserve"> настоящего Порядка;</w:t>
      </w:r>
    </w:p>
    <w:p>
      <w:pPr>
        <w:pStyle w:val="0"/>
        <w:spacing w:before="200" w:line-rule="auto"/>
        <w:ind w:firstLine="540"/>
        <w:jc w:val="both"/>
      </w:pPr>
      <w:r>
        <w:rPr>
          <w:sz w:val="20"/>
        </w:rPr>
        <w:t xml:space="preserve">справку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pPr>
        <w:pStyle w:val="0"/>
        <w:spacing w:before="200" w:line-rule="auto"/>
        <w:ind w:firstLine="540"/>
        <w:jc w:val="both"/>
      </w:pPr>
      <w:r>
        <w:rPr>
          <w:sz w:val="20"/>
        </w:rPr>
        <w:t xml:space="preserve">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pPr>
        <w:pStyle w:val="0"/>
        <w:spacing w:before="200" w:line-rule="auto"/>
        <w:ind w:firstLine="540"/>
        <w:jc w:val="both"/>
      </w:pPr>
      <w:r>
        <w:rPr>
          <w:sz w:val="20"/>
        </w:rPr>
        <w:t xml:space="preserve">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2.6. Участник конкурсного отбора подает не более одной заявки для получения субсидии.</w:t>
      </w:r>
    </w:p>
    <w:p>
      <w:pPr>
        <w:pStyle w:val="0"/>
        <w:spacing w:before="200" w:line-rule="auto"/>
        <w:ind w:firstLine="540"/>
        <w:jc w:val="both"/>
      </w:pPr>
      <w:r>
        <w:rPr>
          <w:sz w:val="20"/>
        </w:rPr>
        <w:t xml:space="preserve">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pPr>
        <w:pStyle w:val="0"/>
        <w:spacing w:before="200" w:line-rule="auto"/>
        <w:ind w:firstLine="540"/>
        <w:jc w:val="both"/>
      </w:pPr>
      <w:r>
        <w:rPr>
          <w:sz w:val="20"/>
        </w:rPr>
        <w:t xml:space="preserve">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pPr>
        <w:pStyle w:val="0"/>
        <w:spacing w:before="200" w:line-rule="auto"/>
        <w:ind w:firstLine="540"/>
        <w:jc w:val="both"/>
      </w:pPr>
      <w:r>
        <w:rPr>
          <w:sz w:val="20"/>
        </w:rPr>
        <w:t xml:space="preserve">Внесение изменений в заявку осуществляется путем отзыва на основании письменного уведомления и подачи новой заявки не позднее даты окончания приема заявок.</w:t>
      </w:r>
    </w:p>
    <w:p>
      <w:pPr>
        <w:pStyle w:val="0"/>
        <w:spacing w:before="200" w:line-rule="auto"/>
        <w:ind w:firstLine="540"/>
        <w:jc w:val="both"/>
      </w:pPr>
      <w:r>
        <w:rPr>
          <w:sz w:val="20"/>
        </w:rPr>
        <w:t xml:space="preserve">В случае поступления запроса от участника конкурсного отбора о разъяснении положений объявления о проведении конкурсного отбора комитет направляет ответ на запрос о разъяснении положений объявления о проведении конкурсного отбора в течение трех рабочих дней со дня поступления запроса.</w:t>
      </w:r>
    </w:p>
    <w:p>
      <w:pPr>
        <w:pStyle w:val="0"/>
        <w:spacing w:before="200" w:line-rule="auto"/>
        <w:ind w:firstLine="540"/>
        <w:jc w:val="both"/>
      </w:pPr>
      <w:r>
        <w:rPr>
          <w:sz w:val="20"/>
        </w:rPr>
        <w:t xml:space="preserve">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pPr>
        <w:pStyle w:val="0"/>
        <w:spacing w:before="200" w:line-rule="auto"/>
        <w:ind w:firstLine="540"/>
        <w:jc w:val="both"/>
      </w:pPr>
      <w:r>
        <w:rPr>
          <w:sz w:val="20"/>
        </w:rP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history="0" w:anchor="P2299" w:tooltip="2.11. Основаниями для отклонения заявки участника конкурсного отбора на стадии рассмотрения и оценки заявок являются:">
        <w:r>
          <w:rPr>
            <w:sz w:val="20"/>
            <w:color w:val="0000ff"/>
          </w:rPr>
          <w:t xml:space="preserve">пунктами 2.11</w:t>
        </w:r>
      </w:hyperlink>
      <w:r>
        <w:rPr>
          <w:sz w:val="20"/>
        </w:rPr>
        <w:t xml:space="preserve"> и </w:t>
      </w:r>
      <w:hyperlink w:history="0" w:anchor="P2304" w:tooltip="2.12. Основаниями для отказа получателю субсидии в предоставлении субсидии являются:">
        <w:r>
          <w:rPr>
            <w:sz w:val="20"/>
            <w:color w:val="0000ff"/>
          </w:rPr>
          <w:t xml:space="preserve">2.12</w:t>
        </w:r>
      </w:hyperlink>
      <w:r>
        <w:rPr>
          <w:sz w:val="20"/>
        </w:rPr>
        <w:t xml:space="preserve"> настоящего Порядка, определяет победителя конкурсного отбора в соответствии с </w:t>
      </w:r>
      <w:hyperlink w:history="0" w:anchor="P2229" w:tooltip="2.10. Представленные на конкурсный отбор заявки оцениваются комиссией по балльной системе в соответствии со следующими критериями:">
        <w:r>
          <w:rPr>
            <w:sz w:val="20"/>
            <w:color w:val="0000ff"/>
          </w:rPr>
          <w:t xml:space="preserve">пунктом 2.10</w:t>
        </w:r>
      </w:hyperlink>
      <w:r>
        <w:rPr>
          <w:sz w:val="20"/>
        </w:rPr>
        <w:t xml:space="preserve"> настоящего Порядка.</w:t>
      </w:r>
    </w:p>
    <w:bookmarkStart w:id="2229" w:name="P2229"/>
    <w:bookmarkEnd w:id="2229"/>
    <w:p>
      <w:pPr>
        <w:pStyle w:val="0"/>
        <w:spacing w:before="200" w:line-rule="auto"/>
        <w:ind w:firstLine="540"/>
        <w:jc w:val="both"/>
      </w:pPr>
      <w:r>
        <w:rPr>
          <w:sz w:val="20"/>
        </w:rPr>
        <w:t xml:space="preserve">2.10. Представленные на конкурсный отбор заявки оцениваются комиссией по балльной системе в соответствии со следующими критериями: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15"/>
        <w:gridCol w:w="5046"/>
      </w:tblGrid>
      <w:tr>
        <w:tc>
          <w:tcPr>
            <w:tcW w:w="510" w:type="dxa"/>
          </w:tcPr>
          <w:p>
            <w:pPr>
              <w:pStyle w:val="0"/>
              <w:jc w:val="center"/>
            </w:pPr>
            <w:r>
              <w:rPr>
                <w:sz w:val="20"/>
              </w:rPr>
              <w:t xml:space="preserve">N п/п</w:t>
            </w:r>
          </w:p>
        </w:tc>
        <w:tc>
          <w:tcPr>
            <w:tcW w:w="3515" w:type="dxa"/>
          </w:tcPr>
          <w:p>
            <w:pPr>
              <w:pStyle w:val="0"/>
              <w:jc w:val="center"/>
            </w:pPr>
            <w:r>
              <w:rPr>
                <w:sz w:val="20"/>
              </w:rPr>
              <w:t xml:space="preserve">Наименование критерия</w:t>
            </w:r>
          </w:p>
        </w:tc>
        <w:tc>
          <w:tcPr>
            <w:tcW w:w="5046" w:type="dxa"/>
          </w:tcPr>
          <w:p>
            <w:pPr>
              <w:pStyle w:val="0"/>
              <w:jc w:val="center"/>
            </w:pPr>
            <w:r>
              <w:rPr>
                <w:sz w:val="20"/>
              </w:rPr>
              <w:t xml:space="preserve">Количество баллов</w:t>
            </w:r>
          </w:p>
        </w:tc>
      </w:tr>
      <w:tr>
        <w:tc>
          <w:tcPr>
            <w:tcW w:w="510" w:type="dxa"/>
          </w:tcPr>
          <w:p>
            <w:pPr>
              <w:pStyle w:val="0"/>
              <w:jc w:val="center"/>
            </w:pPr>
            <w:r>
              <w:rPr>
                <w:sz w:val="20"/>
              </w:rPr>
              <w:t xml:space="preserve">1</w:t>
            </w:r>
          </w:p>
        </w:tc>
        <w:tc>
          <w:tcPr>
            <w:tcW w:w="3515" w:type="dxa"/>
          </w:tcPr>
          <w:p>
            <w:pPr>
              <w:pStyle w:val="0"/>
              <w:jc w:val="center"/>
            </w:pPr>
            <w:r>
              <w:rPr>
                <w:sz w:val="20"/>
              </w:rPr>
              <w:t xml:space="preserve">2</w:t>
            </w:r>
          </w:p>
        </w:tc>
        <w:tc>
          <w:tcPr>
            <w:tcW w:w="5046" w:type="dxa"/>
          </w:tcPr>
          <w:p>
            <w:pPr>
              <w:pStyle w:val="0"/>
              <w:jc w:val="center"/>
            </w:pPr>
            <w:r>
              <w:rPr>
                <w:sz w:val="20"/>
              </w:rPr>
              <w:t xml:space="preserve">3</w:t>
            </w:r>
          </w:p>
        </w:tc>
      </w:tr>
      <w:tr>
        <w:tc>
          <w:tcPr>
            <w:tcW w:w="510" w:type="dxa"/>
            <w:vMerge w:val="restart"/>
          </w:tcPr>
          <w:p>
            <w:pPr>
              <w:pStyle w:val="0"/>
              <w:jc w:val="center"/>
            </w:pPr>
            <w:r>
              <w:rPr>
                <w:sz w:val="20"/>
              </w:rPr>
              <w:t xml:space="preserve">1</w:t>
            </w:r>
          </w:p>
        </w:tc>
        <w:tc>
          <w:tcPr>
            <w:tcW w:w="3515" w:type="dxa"/>
            <w:vMerge w:val="restart"/>
          </w:tcPr>
          <w:p>
            <w:pPr>
              <w:pStyle w:val="0"/>
            </w:pPr>
            <w:r>
              <w:rPr>
                <w:sz w:val="20"/>
              </w:rPr>
              <w:t xml:space="preserve">Актуальность проекта (ориентированность проекта на создание модульных некапитальных средств размещения (кемпингов и автокемпингов) на территории Ленинградской области), его соответствие выбранному направлению в соответствии с </w:t>
            </w:r>
            <w:hyperlink w:history="0" w:anchor="P2156" w:tooltip="1.3. Субсидии предоставляются на финансовое обеспечение поддержки общественных инициатив, в рамках которых реализуются мероприятия, направленные на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
              <w:r>
                <w:rPr>
                  <w:sz w:val="20"/>
                  <w:color w:val="0000ff"/>
                </w:rPr>
                <w:t xml:space="preserve">пунктом 1.3</w:t>
              </w:r>
            </w:hyperlink>
            <w:r>
              <w:rPr>
                <w:sz w:val="20"/>
              </w:rPr>
              <w:t xml:space="preserve"> настоящего Порядка</w:t>
            </w:r>
          </w:p>
        </w:tc>
        <w:tc>
          <w:tcPr>
            <w:tcW w:w="5046" w:type="dxa"/>
          </w:tcPr>
          <w:p>
            <w:pPr>
              <w:pStyle w:val="0"/>
            </w:pPr>
            <w:r>
              <w:rPr>
                <w:sz w:val="20"/>
              </w:rPr>
              <w:t xml:space="preserve">Проект актуален, соответствует выбранному направлению в полной мере - 35 баллов</w:t>
            </w:r>
          </w:p>
        </w:tc>
      </w:tr>
      <w:tr>
        <w:tc>
          <w:tcPr>
            <w:vMerge w:val="continue"/>
          </w:tcPr>
          <w:p/>
        </w:tc>
        <w:tc>
          <w:tcPr>
            <w:vMerge w:val="continue"/>
          </w:tcPr>
          <w:p/>
        </w:tc>
        <w:tc>
          <w:tcPr>
            <w:tcW w:w="5046" w:type="dxa"/>
          </w:tcPr>
          <w:p>
            <w:pPr>
              <w:pStyle w:val="0"/>
            </w:pPr>
            <w:r>
              <w:rPr>
                <w:sz w:val="20"/>
              </w:rPr>
              <w:t xml:space="preserve">Проект актуален, частично соответствует выбранному направлению - 20 баллов</w:t>
            </w:r>
          </w:p>
        </w:tc>
      </w:tr>
      <w:tr>
        <w:tc>
          <w:tcPr>
            <w:vMerge w:val="continue"/>
          </w:tcPr>
          <w:p/>
        </w:tc>
        <w:tc>
          <w:tcPr>
            <w:vMerge w:val="continue"/>
          </w:tcPr>
          <w:p/>
        </w:tc>
        <w:tc>
          <w:tcPr>
            <w:tcW w:w="5046" w:type="dxa"/>
          </w:tcPr>
          <w:p>
            <w:pPr>
              <w:pStyle w:val="0"/>
            </w:pPr>
            <w:r>
              <w:rPr>
                <w:sz w:val="20"/>
              </w:rPr>
              <w:t xml:space="preserve">Проект не актуален - 0 баллов</w:t>
            </w:r>
          </w:p>
        </w:tc>
      </w:tr>
      <w:tr>
        <w:tc>
          <w:tcPr>
            <w:tcW w:w="510" w:type="dxa"/>
            <w:vMerge w:val="restart"/>
          </w:tcPr>
          <w:p>
            <w:pPr>
              <w:pStyle w:val="0"/>
              <w:jc w:val="center"/>
            </w:pPr>
            <w:r>
              <w:rPr>
                <w:sz w:val="20"/>
              </w:rPr>
              <w:t xml:space="preserve">2</w:t>
            </w:r>
          </w:p>
        </w:tc>
        <w:tc>
          <w:tcPr>
            <w:tcW w:w="3515" w:type="dxa"/>
            <w:vMerge w:val="restart"/>
          </w:tcPr>
          <w:p>
            <w:pPr>
              <w:pStyle w:val="0"/>
            </w:pPr>
            <w:r>
              <w:rPr>
                <w:sz w:val="20"/>
              </w:rPr>
              <w:t xml:space="preserve">Уровень софинансирования проекта в процентах</w:t>
            </w:r>
          </w:p>
        </w:tc>
        <w:tc>
          <w:tcPr>
            <w:tcW w:w="5046" w:type="dxa"/>
          </w:tcPr>
          <w:p>
            <w:pPr>
              <w:pStyle w:val="0"/>
            </w:pPr>
            <w:r>
              <w:rPr>
                <w:sz w:val="20"/>
              </w:rPr>
              <w:t xml:space="preserve">от 51% и выше - 35 баллов</w:t>
            </w:r>
          </w:p>
        </w:tc>
      </w:tr>
      <w:tr>
        <w:tc>
          <w:tcPr>
            <w:vMerge w:val="continue"/>
          </w:tcPr>
          <w:p/>
        </w:tc>
        <w:tc>
          <w:tcPr>
            <w:vMerge w:val="continue"/>
          </w:tcPr>
          <w:p/>
        </w:tc>
        <w:tc>
          <w:tcPr>
            <w:tcW w:w="5046" w:type="dxa"/>
          </w:tcPr>
          <w:p>
            <w:pPr>
              <w:pStyle w:val="0"/>
            </w:pPr>
            <w:r>
              <w:rPr>
                <w:sz w:val="20"/>
              </w:rPr>
              <w:t xml:space="preserve">от 41% до 50% - 15 баллов</w:t>
            </w:r>
          </w:p>
        </w:tc>
      </w:tr>
      <w:tr>
        <w:tc>
          <w:tcPr>
            <w:vMerge w:val="continue"/>
          </w:tcPr>
          <w:p/>
        </w:tc>
        <w:tc>
          <w:tcPr>
            <w:vMerge w:val="continue"/>
          </w:tcPr>
          <w:p/>
        </w:tc>
        <w:tc>
          <w:tcPr>
            <w:tcW w:w="5046" w:type="dxa"/>
          </w:tcPr>
          <w:p>
            <w:pPr>
              <w:pStyle w:val="0"/>
            </w:pPr>
            <w:r>
              <w:rPr>
                <w:sz w:val="20"/>
              </w:rPr>
              <w:t xml:space="preserve">от 31% до 40% - 5 баллов</w:t>
            </w:r>
          </w:p>
        </w:tc>
      </w:tr>
      <w:tr>
        <w:tc>
          <w:tcPr>
            <w:vMerge w:val="continue"/>
          </w:tcPr>
          <w:p/>
        </w:tc>
        <w:tc>
          <w:tcPr>
            <w:vMerge w:val="continue"/>
          </w:tcPr>
          <w:p/>
        </w:tc>
        <w:tc>
          <w:tcPr>
            <w:tcW w:w="5046" w:type="dxa"/>
          </w:tcPr>
          <w:p>
            <w:pPr>
              <w:pStyle w:val="0"/>
            </w:pPr>
            <w:r>
              <w:rPr>
                <w:sz w:val="20"/>
              </w:rPr>
              <w:t xml:space="preserve">от 0% до 30% - 0 баллов</w:t>
            </w:r>
          </w:p>
        </w:tc>
      </w:tr>
      <w:tr>
        <w:tc>
          <w:tcPr>
            <w:tcW w:w="510" w:type="dxa"/>
            <w:vMerge w:val="restart"/>
          </w:tcPr>
          <w:p>
            <w:pPr>
              <w:pStyle w:val="0"/>
              <w:jc w:val="center"/>
            </w:pPr>
            <w:r>
              <w:rPr>
                <w:sz w:val="20"/>
              </w:rPr>
              <w:t xml:space="preserve">3</w:t>
            </w:r>
          </w:p>
        </w:tc>
        <w:tc>
          <w:tcPr>
            <w:tcW w:w="3515" w:type="dxa"/>
            <w:vMerge w:val="restart"/>
          </w:tcPr>
          <w:p>
            <w:pPr>
              <w:pStyle w:val="0"/>
            </w:pPr>
            <w:r>
              <w:rPr>
                <w:sz w:val="20"/>
              </w:rPr>
              <w:t xml:space="preserve">Взаимосвязь проекта с туристскими объектами, туристскими маршрутами Ленинградской области</w:t>
            </w:r>
          </w:p>
        </w:tc>
        <w:tc>
          <w:tcPr>
            <w:tcW w:w="5046" w:type="dxa"/>
          </w:tcPr>
          <w:p>
            <w:pPr>
              <w:pStyle w:val="0"/>
            </w:pPr>
            <w:r>
              <w:rPr>
                <w:sz w:val="20"/>
              </w:rPr>
              <w:t xml:space="preserve">Проект взаимосвязан с туристскими объектами, туристскими маршрутами Ленинградской области - 7 баллов</w:t>
            </w:r>
          </w:p>
        </w:tc>
      </w:tr>
      <w:tr>
        <w:tc>
          <w:tcPr>
            <w:vMerge w:val="continue"/>
          </w:tcPr>
          <w:p/>
        </w:tc>
        <w:tc>
          <w:tcPr>
            <w:vMerge w:val="continue"/>
          </w:tcPr>
          <w:p/>
        </w:tc>
        <w:tc>
          <w:tcPr>
            <w:tcW w:w="5046" w:type="dxa"/>
          </w:tcPr>
          <w:p>
            <w:pPr>
              <w:pStyle w:val="0"/>
            </w:pPr>
            <w:r>
              <w:rPr>
                <w:sz w:val="20"/>
              </w:rPr>
              <w:t xml:space="preserve">Проект не взаимосвязан с туристскими объектами, туристскими маршрутами Ленинградской области - 0 баллов</w:t>
            </w:r>
          </w:p>
        </w:tc>
      </w:tr>
      <w:tr>
        <w:tc>
          <w:tcPr>
            <w:tcW w:w="510" w:type="dxa"/>
            <w:vMerge w:val="restart"/>
          </w:tcPr>
          <w:p>
            <w:pPr>
              <w:pStyle w:val="0"/>
              <w:jc w:val="center"/>
            </w:pPr>
            <w:r>
              <w:rPr>
                <w:sz w:val="20"/>
              </w:rPr>
              <w:t xml:space="preserve">4</w:t>
            </w:r>
          </w:p>
        </w:tc>
        <w:tc>
          <w:tcPr>
            <w:tcW w:w="3515" w:type="dxa"/>
            <w:vMerge w:val="restart"/>
          </w:tcPr>
          <w:p>
            <w:pPr>
              <w:pStyle w:val="0"/>
            </w:pPr>
            <w:r>
              <w:rPr>
                <w:sz w:val="20"/>
              </w:rPr>
              <w:t xml:space="preserve">Логическая взаимосвязь и реализуемость проекта</w:t>
            </w:r>
          </w:p>
        </w:tc>
        <w:tc>
          <w:tcPr>
            <w:tcW w:w="5046" w:type="dxa"/>
          </w:tcPr>
          <w:p>
            <w:pPr>
              <w:pStyle w:val="0"/>
            </w:pPr>
            <w:r>
              <w:rPr>
                <w:sz w:val="20"/>
              </w:rPr>
              <w:t xml:space="preserve">Цели и задачи соответствуют содержанию проекта, календарный план структурирован и детализирован - 5 баллов</w:t>
            </w:r>
          </w:p>
        </w:tc>
      </w:tr>
      <w:tr>
        <w:tc>
          <w:tcPr>
            <w:vMerge w:val="continue"/>
          </w:tcPr>
          <w:p/>
        </w:tc>
        <w:tc>
          <w:tcPr>
            <w:vMerge w:val="continue"/>
          </w:tcPr>
          <w:p/>
        </w:tc>
        <w:tc>
          <w:tcPr>
            <w:tcW w:w="5046" w:type="dxa"/>
          </w:tcPr>
          <w:p>
            <w:pPr>
              <w:pStyle w:val="0"/>
            </w:pPr>
            <w:r>
              <w:rPr>
                <w:sz w:val="20"/>
              </w:rPr>
              <w:t xml:space="preserve">Цели и задачи соответствуют содержанию проекта, но есть замечания по их составу, сроки выполнения отдельных мероприятий требуют корректировки - 3 балла</w:t>
            </w:r>
          </w:p>
        </w:tc>
      </w:tr>
      <w:tr>
        <w:tc>
          <w:tcPr>
            <w:vMerge w:val="continue"/>
          </w:tcPr>
          <w:p/>
        </w:tc>
        <w:tc>
          <w:tcPr>
            <w:vMerge w:val="continue"/>
          </w:tcPr>
          <w:p/>
        </w:tc>
        <w:tc>
          <w:tcPr>
            <w:tcW w:w="5046" w:type="dxa"/>
          </w:tcPr>
          <w:p>
            <w:pPr>
              <w:pStyle w:val="0"/>
            </w:pPr>
            <w:r>
              <w:rPr>
                <w:sz w:val="20"/>
              </w:rPr>
              <w:t xml:space="preserve">Проект имеет противоречия между планируемой деятельностью и ожидаемыми результатами, отсутствует детализация календарного плана, имеются ошибки в постановке целей, задач и описании мероприятий - 0 баллов</w:t>
            </w:r>
          </w:p>
        </w:tc>
      </w:tr>
      <w:tr>
        <w:tc>
          <w:tcPr>
            <w:tcW w:w="510" w:type="dxa"/>
            <w:vMerge w:val="restart"/>
          </w:tcPr>
          <w:p>
            <w:pPr>
              <w:pStyle w:val="0"/>
              <w:jc w:val="center"/>
            </w:pPr>
            <w:r>
              <w:rPr>
                <w:sz w:val="20"/>
              </w:rPr>
              <w:t xml:space="preserve">5</w:t>
            </w:r>
          </w:p>
        </w:tc>
        <w:tc>
          <w:tcPr>
            <w:tcW w:w="3515" w:type="dxa"/>
            <w:vMerge w:val="restart"/>
          </w:tcPr>
          <w:p>
            <w:pPr>
              <w:pStyle w:val="0"/>
            </w:pPr>
            <w:r>
              <w:rPr>
                <w:sz w:val="20"/>
              </w:rPr>
              <w:t xml:space="preserve">Обоснованность бюджета</w:t>
            </w:r>
          </w:p>
        </w:tc>
        <w:tc>
          <w:tcPr>
            <w:tcW w:w="5046" w:type="dxa"/>
          </w:tcPr>
          <w:p>
            <w:pPr>
              <w:pStyle w:val="0"/>
            </w:pPr>
            <w:r>
              <w:rPr>
                <w:sz w:val="20"/>
              </w:rPr>
              <w:t xml:space="preserve">В бюджете отсутствуют расходы, непосредственно не связанные с реализацией проекта, представлена детализация всех предполагаемых расходов - 7 баллов</w:t>
            </w:r>
          </w:p>
        </w:tc>
      </w:tr>
      <w:tr>
        <w:tc>
          <w:tcPr>
            <w:vMerge w:val="continue"/>
          </w:tcPr>
          <w:p/>
        </w:tc>
        <w:tc>
          <w:tcPr>
            <w:vMerge w:val="continue"/>
          </w:tcPr>
          <w:p/>
        </w:tc>
        <w:tc>
          <w:tcPr>
            <w:tcW w:w="5046" w:type="dxa"/>
          </w:tcPr>
          <w:p>
            <w:pPr>
              <w:pStyle w:val="0"/>
            </w:pPr>
            <w:r>
              <w:rPr>
                <w:sz w:val="20"/>
              </w:rPr>
              <w:t xml:space="preserve">Не все предполагаемые расходы следуют из мероприятий и обоснованы, в бюджете предусмотрены не имеющие прямого отношения к реализации проекта расходы - 3 балла</w:t>
            </w:r>
          </w:p>
        </w:tc>
      </w:tr>
      <w:tr>
        <w:tc>
          <w:tcPr>
            <w:vMerge w:val="continue"/>
          </w:tcPr>
          <w:p/>
        </w:tc>
        <w:tc>
          <w:tcPr>
            <w:vMerge w:val="continue"/>
          </w:tcPr>
          <w:p/>
        </w:tc>
        <w:tc>
          <w:tcPr>
            <w:tcW w:w="5046" w:type="dxa"/>
          </w:tcPr>
          <w:p>
            <w:pPr>
              <w:pStyle w:val="0"/>
            </w:pPr>
            <w:r>
              <w:rPr>
                <w:sz w:val="20"/>
              </w:rPr>
              <w:t xml:space="preserve">Предполагаемые расходы не соответствуют мероприятиям проекта и/или условиям конкурса - 0 баллов</w:t>
            </w:r>
          </w:p>
        </w:tc>
      </w:tr>
      <w:tr>
        <w:tc>
          <w:tcPr>
            <w:tcW w:w="510" w:type="dxa"/>
            <w:vMerge w:val="restart"/>
          </w:tcPr>
          <w:p>
            <w:pPr>
              <w:pStyle w:val="0"/>
              <w:jc w:val="center"/>
            </w:pPr>
            <w:r>
              <w:rPr>
                <w:sz w:val="20"/>
              </w:rPr>
              <w:t xml:space="preserve">6</w:t>
            </w:r>
          </w:p>
        </w:tc>
        <w:tc>
          <w:tcPr>
            <w:tcW w:w="3515" w:type="dxa"/>
            <w:vMerge w:val="restart"/>
          </w:tcPr>
          <w:p>
            <w:pPr>
              <w:pStyle w:val="0"/>
            </w:pPr>
            <w:r>
              <w:rPr>
                <w:sz w:val="20"/>
              </w:rPr>
              <w:t xml:space="preserve">Права на земельный участок под создаваемый проект</w:t>
            </w:r>
          </w:p>
        </w:tc>
        <w:tc>
          <w:tcPr>
            <w:tcW w:w="5046" w:type="dxa"/>
          </w:tcPr>
          <w:p>
            <w:pPr>
              <w:pStyle w:val="0"/>
            </w:pPr>
            <w:r>
              <w:rPr>
                <w:sz w:val="20"/>
              </w:rPr>
              <w:t xml:space="preserve">Наличие документов, подтверждающих права собственности на земельный участок - 5 баллов</w:t>
            </w:r>
          </w:p>
        </w:tc>
      </w:tr>
      <w:tr>
        <w:tc>
          <w:tcPr>
            <w:vMerge w:val="continue"/>
          </w:tcPr>
          <w:p/>
        </w:tc>
        <w:tc>
          <w:tcPr>
            <w:vMerge w:val="continue"/>
          </w:tcPr>
          <w:p/>
        </w:tc>
        <w:tc>
          <w:tcPr>
            <w:tcW w:w="5046" w:type="dxa"/>
          </w:tcPr>
          <w:p>
            <w:pPr>
              <w:pStyle w:val="0"/>
            </w:pPr>
            <w:r>
              <w:rPr>
                <w:sz w:val="20"/>
              </w:rPr>
              <w:t xml:space="preserve">Наличие договора аренды или субаренды, подтверждающего оставшийся срок аренды на момент подачи заявки свыше 10 лет или договор аренды с правом выкупа, - 3 балла</w:t>
            </w:r>
          </w:p>
        </w:tc>
      </w:tr>
      <w:tr>
        <w:tc>
          <w:tcPr>
            <w:vMerge w:val="continue"/>
          </w:tcPr>
          <w:p/>
        </w:tc>
        <w:tc>
          <w:tcPr>
            <w:vMerge w:val="continue"/>
          </w:tcPr>
          <w:p/>
        </w:tc>
        <w:tc>
          <w:tcPr>
            <w:tcW w:w="5046" w:type="dxa"/>
          </w:tcPr>
          <w:p>
            <w:pPr>
              <w:pStyle w:val="0"/>
            </w:pPr>
            <w:r>
              <w:rPr>
                <w:sz w:val="20"/>
              </w:rPr>
              <w:t xml:space="preserve">Наличие договора аренды или субаренды, подтверждающего оставшийся срок аренды на момент подачи заявки от 6 до 10 лет, - 2 балла</w:t>
            </w:r>
          </w:p>
        </w:tc>
      </w:tr>
      <w:tr>
        <w:tc>
          <w:tcPr>
            <w:vMerge w:val="continue"/>
          </w:tcPr>
          <w:p/>
        </w:tc>
        <w:tc>
          <w:tcPr>
            <w:vMerge w:val="continue"/>
          </w:tcPr>
          <w:p/>
        </w:tc>
        <w:tc>
          <w:tcPr>
            <w:tcW w:w="5046" w:type="dxa"/>
          </w:tcPr>
          <w:p>
            <w:pPr>
              <w:pStyle w:val="0"/>
            </w:pPr>
            <w:r>
              <w:rPr>
                <w:sz w:val="20"/>
              </w:rPr>
              <w:t xml:space="preserve">Наличие договора аренды или субаренды, подтверждающего оставшийся срок аренды на момент подачи заявки от 3 до 5 лет, - 1 балл</w:t>
            </w:r>
          </w:p>
        </w:tc>
      </w:tr>
      <w:tr>
        <w:tc>
          <w:tcPr>
            <w:vMerge w:val="continue"/>
          </w:tcPr>
          <w:p/>
        </w:tc>
        <w:tc>
          <w:tcPr>
            <w:vMerge w:val="continue"/>
          </w:tcPr>
          <w:p/>
        </w:tc>
        <w:tc>
          <w:tcPr>
            <w:tcW w:w="5046" w:type="dxa"/>
          </w:tcPr>
          <w:p>
            <w:pPr>
              <w:pStyle w:val="0"/>
            </w:pPr>
            <w:r>
              <w:rPr>
                <w:sz w:val="20"/>
              </w:rPr>
              <w:t xml:space="preserve">Наличие договора аренды или субаренды, подтверждающего оставшийся срок аренды на момент подачи заявки менее 3 лет, - 0 баллов</w:t>
            </w:r>
          </w:p>
        </w:tc>
      </w:tr>
      <w:tr>
        <w:tc>
          <w:tcPr>
            <w:tcW w:w="510" w:type="dxa"/>
            <w:vMerge w:val="restart"/>
          </w:tcPr>
          <w:p>
            <w:pPr>
              <w:pStyle w:val="0"/>
              <w:jc w:val="center"/>
            </w:pPr>
            <w:r>
              <w:rPr>
                <w:sz w:val="20"/>
              </w:rPr>
              <w:t xml:space="preserve">7</w:t>
            </w:r>
          </w:p>
        </w:tc>
        <w:tc>
          <w:tcPr>
            <w:tcW w:w="3515" w:type="dxa"/>
            <w:vMerge w:val="restart"/>
          </w:tcPr>
          <w:p>
            <w:pPr>
              <w:pStyle w:val="0"/>
            </w:pPr>
            <w:r>
              <w:rPr>
                <w:sz w:val="20"/>
              </w:rPr>
              <w:t xml:space="preserve">Соответствие категории земельного участка и вида разрешенного использования земельного участка назначению проекта</w:t>
            </w:r>
          </w:p>
        </w:tc>
        <w:tc>
          <w:tcPr>
            <w:tcW w:w="5046" w:type="dxa"/>
          </w:tcPr>
          <w:p>
            <w:pPr>
              <w:pStyle w:val="0"/>
            </w:pPr>
            <w:r>
              <w:rPr>
                <w:sz w:val="20"/>
              </w:rPr>
              <w:t xml:space="preserve">Категория и вид разрешенного использования земельного участка соответствуют назначению проекта - 5 баллов</w:t>
            </w:r>
          </w:p>
        </w:tc>
      </w:tr>
      <w:tr>
        <w:tc>
          <w:tcPr>
            <w:vMerge w:val="continue"/>
          </w:tcPr>
          <w:p/>
        </w:tc>
        <w:tc>
          <w:tcPr>
            <w:vMerge w:val="continue"/>
          </w:tcPr>
          <w:p/>
        </w:tc>
        <w:tc>
          <w:tcPr>
            <w:tcW w:w="5046" w:type="dxa"/>
          </w:tcPr>
          <w:p>
            <w:pPr>
              <w:pStyle w:val="0"/>
            </w:pPr>
            <w:r>
              <w:rPr>
                <w:sz w:val="20"/>
              </w:rPr>
              <w:t xml:space="preserve">Представлено гарантийное письмо об обращении с заявлением на изменение категории земель и(или) вида разрешенного использования земельного участка на соответствующие предусмотренному проектом виды деятельности не позднее 1 месяца со дня получения субсидии в установленном законодательством порядке - 1 балл</w:t>
            </w:r>
          </w:p>
        </w:tc>
      </w:tr>
      <w:tr>
        <w:tc>
          <w:tcPr>
            <w:tcW w:w="510" w:type="dxa"/>
            <w:vMerge w:val="restart"/>
          </w:tcPr>
          <w:p>
            <w:pPr>
              <w:pStyle w:val="0"/>
              <w:jc w:val="center"/>
            </w:pPr>
            <w:r>
              <w:rPr>
                <w:sz w:val="20"/>
              </w:rPr>
              <w:t xml:space="preserve">8</w:t>
            </w:r>
          </w:p>
        </w:tc>
        <w:tc>
          <w:tcPr>
            <w:tcW w:w="3515" w:type="dxa"/>
            <w:vMerge w:val="restart"/>
          </w:tcPr>
          <w:p>
            <w:pPr>
              <w:pStyle w:val="0"/>
            </w:pPr>
            <w:r>
              <w:rPr>
                <w:sz w:val="20"/>
              </w:rPr>
              <w:t xml:space="preserve">Стадия реализации проекта по созданию модульных некапитальных средств размещения</w:t>
            </w:r>
          </w:p>
        </w:tc>
        <w:tc>
          <w:tcPr>
            <w:tcW w:w="5046" w:type="dxa"/>
          </w:tcPr>
          <w:p>
            <w:pPr>
              <w:pStyle w:val="0"/>
            </w:pPr>
            <w:r>
              <w:rPr>
                <w:sz w:val="20"/>
              </w:rPr>
              <w:t xml:space="preserve">Проект частично реализован - 4 балла</w:t>
            </w:r>
          </w:p>
        </w:tc>
      </w:tr>
      <w:tr>
        <w:tc>
          <w:tcPr>
            <w:vMerge w:val="continue"/>
          </w:tcPr>
          <w:p/>
        </w:tc>
        <w:tc>
          <w:tcPr>
            <w:vMerge w:val="continue"/>
          </w:tcPr>
          <w:p/>
        </w:tc>
        <w:tc>
          <w:tcPr>
            <w:tcW w:w="5046" w:type="dxa"/>
          </w:tcPr>
          <w:p>
            <w:pPr>
              <w:pStyle w:val="0"/>
            </w:pPr>
            <w:r>
              <w:rPr>
                <w:sz w:val="20"/>
              </w:rPr>
              <w:t xml:space="preserve">Реализация проекта не началась - 0 баллов</w:t>
            </w:r>
          </w:p>
        </w:tc>
      </w:tr>
      <w:tr>
        <w:tc>
          <w:tcPr>
            <w:tcW w:w="510" w:type="dxa"/>
            <w:vMerge w:val="restart"/>
          </w:tcPr>
          <w:p>
            <w:pPr>
              <w:pStyle w:val="0"/>
              <w:jc w:val="center"/>
            </w:pPr>
            <w:r>
              <w:rPr>
                <w:sz w:val="20"/>
              </w:rPr>
              <w:t xml:space="preserve">9</w:t>
            </w:r>
          </w:p>
        </w:tc>
        <w:tc>
          <w:tcPr>
            <w:tcW w:w="3515" w:type="dxa"/>
            <w:vMerge w:val="restart"/>
          </w:tcPr>
          <w:p>
            <w:pPr>
              <w:pStyle w:val="0"/>
            </w:pPr>
            <w:r>
              <w:rPr>
                <w:sz w:val="20"/>
              </w:rPr>
              <w:t xml:space="preserve">Сезонность функционирования модульного некапитального средства размещения</w:t>
            </w:r>
          </w:p>
        </w:tc>
        <w:tc>
          <w:tcPr>
            <w:tcW w:w="5046" w:type="dxa"/>
          </w:tcPr>
          <w:p>
            <w:pPr>
              <w:pStyle w:val="0"/>
            </w:pPr>
            <w:r>
              <w:rPr>
                <w:sz w:val="20"/>
              </w:rPr>
              <w:t xml:space="preserve">Модульное некапитальное средство размещения будет функционировать круглогодично - 10 баллов</w:t>
            </w:r>
          </w:p>
        </w:tc>
      </w:tr>
      <w:tr>
        <w:tc>
          <w:tcPr>
            <w:vMerge w:val="continue"/>
          </w:tcPr>
          <w:p/>
        </w:tc>
        <w:tc>
          <w:tcPr>
            <w:vMerge w:val="continue"/>
          </w:tcPr>
          <w:p/>
        </w:tc>
        <w:tc>
          <w:tcPr>
            <w:tcW w:w="5046" w:type="dxa"/>
          </w:tcPr>
          <w:p>
            <w:pPr>
              <w:pStyle w:val="0"/>
            </w:pPr>
            <w:r>
              <w:rPr>
                <w:sz w:val="20"/>
              </w:rPr>
              <w:t xml:space="preserve">Модульное некапитальное средство размещения не будет функционировать круглогодично - 0 баллов</w:t>
            </w:r>
          </w:p>
        </w:tc>
      </w:tr>
      <w:tr>
        <w:tc>
          <w:tcPr>
            <w:tcW w:w="510" w:type="dxa"/>
            <w:vMerge w:val="restart"/>
          </w:tcPr>
          <w:p>
            <w:pPr>
              <w:pStyle w:val="0"/>
              <w:jc w:val="center"/>
            </w:pPr>
            <w:r>
              <w:rPr>
                <w:sz w:val="20"/>
              </w:rPr>
              <w:t xml:space="preserve">10</w:t>
            </w:r>
          </w:p>
        </w:tc>
        <w:tc>
          <w:tcPr>
            <w:tcW w:w="3515" w:type="dxa"/>
            <w:vMerge w:val="restart"/>
          </w:tcPr>
          <w:p>
            <w:pPr>
              <w:pStyle w:val="0"/>
            </w:pPr>
            <w:r>
              <w:rPr>
                <w:sz w:val="20"/>
              </w:rPr>
              <w:t xml:space="preserve">Благоустройство территории реализации проекта</w:t>
            </w:r>
          </w:p>
        </w:tc>
        <w:tc>
          <w:tcPr>
            <w:tcW w:w="5046" w:type="dxa"/>
          </w:tcPr>
          <w:p>
            <w:pPr>
              <w:pStyle w:val="0"/>
            </w:pPr>
            <w:r>
              <w:rPr>
                <w:sz w:val="20"/>
              </w:rPr>
              <w:t xml:space="preserve">Проект предполагает благоустройство территории (дополнительной рекреационной зоны, создание системы визуальной информации и навигации, оборудование мест общего пользования, обеспечение доступа для лиц с ограниченными возможностями здоровья и др.) - 4 балла</w:t>
            </w:r>
          </w:p>
        </w:tc>
      </w:tr>
      <w:tr>
        <w:tc>
          <w:tcPr>
            <w:vMerge w:val="continue"/>
          </w:tcPr>
          <w:p/>
        </w:tc>
        <w:tc>
          <w:tcPr>
            <w:vMerge w:val="continue"/>
          </w:tcPr>
          <w:p/>
        </w:tc>
        <w:tc>
          <w:tcPr>
            <w:tcW w:w="5046" w:type="dxa"/>
          </w:tcPr>
          <w:p>
            <w:pPr>
              <w:pStyle w:val="0"/>
            </w:pPr>
            <w:r>
              <w:rPr>
                <w:sz w:val="20"/>
              </w:rPr>
              <w:t xml:space="preserve">Проект не предполагает благоустройство территории (дополнительной рекреационной зоны, создание системы визуальной информации и навигации, оборудование мест общего пользования, обеспечение доступа для лиц с ограниченными возможностями здоровья и др.) - 0 баллов</w:t>
            </w:r>
          </w:p>
        </w:tc>
      </w:tr>
      <w:tr>
        <w:tc>
          <w:tcPr>
            <w:tcW w:w="510" w:type="dxa"/>
            <w:vMerge w:val="restart"/>
          </w:tcPr>
          <w:p>
            <w:pPr>
              <w:pStyle w:val="0"/>
              <w:jc w:val="center"/>
            </w:pPr>
            <w:r>
              <w:rPr>
                <w:sz w:val="20"/>
              </w:rPr>
              <w:t xml:space="preserve">11</w:t>
            </w:r>
          </w:p>
        </w:tc>
        <w:tc>
          <w:tcPr>
            <w:tcW w:w="3515" w:type="dxa"/>
            <w:vMerge w:val="restart"/>
          </w:tcPr>
          <w:p>
            <w:pPr>
              <w:pStyle w:val="0"/>
            </w:pPr>
            <w:r>
              <w:rPr>
                <w:sz w:val="20"/>
              </w:rPr>
              <w:t xml:space="preserve">Оснащение территории реализации проекта инженерной инфраструктурой</w:t>
            </w:r>
          </w:p>
        </w:tc>
        <w:tc>
          <w:tcPr>
            <w:tcW w:w="5046" w:type="dxa"/>
          </w:tcPr>
          <w:p>
            <w:pPr>
              <w:pStyle w:val="0"/>
            </w:pPr>
            <w:r>
              <w:rPr>
                <w:sz w:val="20"/>
              </w:rPr>
              <w:t xml:space="preserve">Территория реализации проекта оснащена электроснабжением, водообеспечением и водоотведением - 3 балла</w:t>
            </w:r>
          </w:p>
        </w:tc>
      </w:tr>
      <w:tr>
        <w:tc>
          <w:tcPr>
            <w:vMerge w:val="continue"/>
          </w:tcPr>
          <w:p/>
        </w:tc>
        <w:tc>
          <w:tcPr>
            <w:vMerge w:val="continue"/>
          </w:tcPr>
          <w:p/>
        </w:tc>
        <w:tc>
          <w:tcPr>
            <w:tcW w:w="5046" w:type="dxa"/>
          </w:tcPr>
          <w:p>
            <w:pPr>
              <w:pStyle w:val="0"/>
            </w:pPr>
            <w:r>
              <w:rPr>
                <w:sz w:val="20"/>
              </w:rPr>
              <w:t xml:space="preserve">Территория реализации проекта частично оснащена электроснабжением, водообеспечением и водоотведением - 2 балла</w:t>
            </w:r>
          </w:p>
        </w:tc>
      </w:tr>
      <w:tr>
        <w:tc>
          <w:tcPr>
            <w:vMerge w:val="continue"/>
          </w:tcPr>
          <w:p/>
        </w:tc>
        <w:tc>
          <w:tcPr>
            <w:vMerge w:val="continue"/>
          </w:tcPr>
          <w:p/>
        </w:tc>
        <w:tc>
          <w:tcPr>
            <w:tcW w:w="5046" w:type="dxa"/>
          </w:tcPr>
          <w:p>
            <w:pPr>
              <w:pStyle w:val="0"/>
            </w:pPr>
            <w:r>
              <w:rPr>
                <w:sz w:val="20"/>
              </w:rPr>
              <w:t xml:space="preserve">Территория реализации проекта не оснащена электроснабжением, водообеспечением и водоотведением - 0 баллов</w:t>
            </w:r>
          </w:p>
        </w:tc>
      </w:tr>
      <w:tr>
        <w:tc>
          <w:tcPr>
            <w:tcW w:w="510" w:type="dxa"/>
            <w:vMerge w:val="restart"/>
          </w:tcPr>
          <w:p>
            <w:pPr>
              <w:pStyle w:val="0"/>
              <w:jc w:val="center"/>
            </w:pPr>
            <w:r>
              <w:rPr>
                <w:sz w:val="20"/>
              </w:rPr>
              <w:t xml:space="preserve">12</w:t>
            </w:r>
          </w:p>
        </w:tc>
        <w:tc>
          <w:tcPr>
            <w:tcW w:w="3515" w:type="dxa"/>
            <w:vMerge w:val="restart"/>
          </w:tcPr>
          <w:p>
            <w:pPr>
              <w:pStyle w:val="0"/>
            </w:pPr>
            <w:r>
              <w:rPr>
                <w:sz w:val="20"/>
              </w:rPr>
              <w:t xml:space="preserve">Перспектива развития и потенциал проекта</w:t>
            </w:r>
          </w:p>
        </w:tc>
        <w:tc>
          <w:tcPr>
            <w:tcW w:w="5046" w:type="dxa"/>
          </w:tcPr>
          <w:p>
            <w:pPr>
              <w:pStyle w:val="0"/>
            </w:pPr>
            <w:r>
              <w:rPr>
                <w:sz w:val="20"/>
              </w:rPr>
              <w:t xml:space="preserve">В заявочной документации содержится подробное описание механизмов развития проекта с сохранением и(или) приумножением значений результатов предоставления субсидии - 3 балла</w:t>
            </w:r>
          </w:p>
        </w:tc>
      </w:tr>
      <w:tr>
        <w:tc>
          <w:tcPr>
            <w:vMerge w:val="continue"/>
          </w:tcPr>
          <w:p/>
        </w:tc>
        <w:tc>
          <w:tcPr>
            <w:vMerge w:val="continue"/>
          </w:tcPr>
          <w:p/>
        </w:tc>
        <w:tc>
          <w:tcPr>
            <w:tcW w:w="5046" w:type="dxa"/>
          </w:tcPr>
          <w:p>
            <w:pPr>
              <w:pStyle w:val="0"/>
            </w:pPr>
            <w:r>
              <w:rPr>
                <w:sz w:val="20"/>
              </w:rPr>
              <w:t xml:space="preserve">В заявочной документации отсутствует подробное описание механизмов развития проекта с сохранением и(или) приумножением значений результатов предоставления субсидии - 0 баллов</w:t>
            </w:r>
          </w:p>
        </w:tc>
      </w:tr>
      <w:tr>
        <w:tc>
          <w:tcPr>
            <w:tcW w:w="510" w:type="dxa"/>
            <w:vMerge w:val="restart"/>
          </w:tcPr>
          <w:p>
            <w:pPr>
              <w:pStyle w:val="0"/>
              <w:jc w:val="center"/>
            </w:pPr>
            <w:r>
              <w:rPr>
                <w:sz w:val="20"/>
              </w:rPr>
              <w:t xml:space="preserve">13</w:t>
            </w:r>
          </w:p>
        </w:tc>
        <w:tc>
          <w:tcPr>
            <w:tcW w:w="3515" w:type="dxa"/>
            <w:vMerge w:val="restart"/>
          </w:tcPr>
          <w:p>
            <w:pPr>
              <w:pStyle w:val="0"/>
            </w:pPr>
            <w:r>
              <w:rPr>
                <w:sz w:val="20"/>
              </w:rPr>
              <w:t xml:space="preserve">Качество и обоснованность выбора планировочных решений</w:t>
            </w:r>
          </w:p>
        </w:tc>
        <w:tc>
          <w:tcPr>
            <w:tcW w:w="5046" w:type="dxa"/>
          </w:tcPr>
          <w:p>
            <w:pPr>
              <w:pStyle w:val="0"/>
            </w:pPr>
            <w:r>
              <w:rPr>
                <w:sz w:val="20"/>
              </w:rPr>
              <w:t xml:space="preserve">Функциональное зонирование соответствует режимам использования объекта - 5 баллов</w:t>
            </w:r>
          </w:p>
        </w:tc>
      </w:tr>
      <w:tr>
        <w:tc>
          <w:tcPr>
            <w:vMerge w:val="continue"/>
          </w:tcPr>
          <w:p/>
        </w:tc>
        <w:tc>
          <w:tcPr>
            <w:vMerge w:val="continue"/>
          </w:tcPr>
          <w:p/>
        </w:tc>
        <w:tc>
          <w:tcPr>
            <w:tcW w:w="5046" w:type="dxa"/>
          </w:tcPr>
          <w:p>
            <w:pPr>
              <w:pStyle w:val="0"/>
            </w:pPr>
            <w:r>
              <w:rPr>
                <w:sz w:val="20"/>
              </w:rPr>
              <w:t xml:space="preserve">Функциональное зонирование не соответствует режимам использования объекта - 0 баллов</w:t>
            </w:r>
          </w:p>
        </w:tc>
      </w:tr>
    </w:tbl>
    <w:p>
      <w:pPr>
        <w:pStyle w:val="0"/>
        <w:ind w:firstLine="540"/>
        <w:jc w:val="both"/>
      </w:pPr>
      <w:r>
        <w:rPr>
          <w:sz w:val="20"/>
        </w:rPr>
      </w:r>
    </w:p>
    <w:bookmarkStart w:id="2299" w:name="P2299"/>
    <w:bookmarkEnd w:id="2299"/>
    <w:p>
      <w:pPr>
        <w:pStyle w:val="0"/>
        <w:ind w:firstLine="540"/>
        <w:jc w:val="both"/>
      </w:pPr>
      <w:r>
        <w:rPr>
          <w:sz w:val="20"/>
        </w:rPr>
        <w:t xml:space="preserve">2.11. Основаниями для отклонения заявки участника конкурсного отбора на стадии рассмотрения и оценки заявок являются:</w:t>
      </w:r>
    </w:p>
    <w:p>
      <w:pPr>
        <w:pStyle w:val="0"/>
        <w:spacing w:before="200" w:line-rule="auto"/>
        <w:ind w:firstLine="540"/>
        <w:jc w:val="both"/>
      </w:pPr>
      <w:r>
        <w:rPr>
          <w:sz w:val="20"/>
        </w:rPr>
        <w:t xml:space="preserve">а) несоответствие участника конкурсного отбора условиям и требованиям </w:t>
      </w:r>
      <w:hyperlink w:history="0" w:anchor="P2164" w:tooltip="2.1. Субсидии предоставляются при соблюдении следующих требований:">
        <w:r>
          <w:rPr>
            <w:sz w:val="20"/>
            <w:color w:val="0000ff"/>
          </w:rPr>
          <w:t xml:space="preserve">пункта 2.1</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участником конкурсного отбора документов требованиям, установленным </w:t>
      </w:r>
      <w:hyperlink w:history="0" w:anchor="P2204"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конкурсного отбора заявки после даты и(или) времени, определенных в соответствии с </w:t>
      </w:r>
      <w:hyperlink w:history="0" w:anchor="P2187" w:tooltip="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quot;Интернет&quot;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
        <w:r>
          <w:rPr>
            <w:sz w:val="20"/>
            <w:color w:val="0000ff"/>
          </w:rPr>
          <w:t xml:space="preserve">пунктом 2.4</w:t>
        </w:r>
      </w:hyperlink>
      <w:r>
        <w:rPr>
          <w:sz w:val="20"/>
        </w:rPr>
        <w:t xml:space="preserve"> настоящего Порядка.</w:t>
      </w:r>
    </w:p>
    <w:bookmarkStart w:id="2304" w:name="P2304"/>
    <w:bookmarkEnd w:id="2304"/>
    <w:p>
      <w:pPr>
        <w:pStyle w:val="0"/>
        <w:spacing w:before="200" w:line-rule="auto"/>
        <w:ind w:firstLine="540"/>
        <w:jc w:val="both"/>
      </w:pPr>
      <w:r>
        <w:rPr>
          <w:sz w:val="20"/>
        </w:rPr>
        <w:t xml:space="preserve">2.12.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требованиям, указанным в </w:t>
      </w:r>
      <w:hyperlink w:history="0" w:anchor="P2204" w:tooltip="2.5. Для участия в конкурсном отборе участник представляет в комитет заявку, включающую следующие документы:">
        <w:r>
          <w:rPr>
            <w:sz w:val="20"/>
            <w:color w:val="0000ff"/>
          </w:rPr>
          <w:t xml:space="preserve">пункте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заявке по результатам оценки комиссией присвоено 50 и менее баллов.</w:t>
      </w:r>
    </w:p>
    <w:p>
      <w:pPr>
        <w:pStyle w:val="0"/>
        <w:spacing w:before="200" w:line-rule="auto"/>
        <w:ind w:firstLine="540"/>
        <w:jc w:val="both"/>
      </w:pPr>
      <w:r>
        <w:rPr>
          <w:sz w:val="20"/>
        </w:rPr>
        <w:t xml:space="preserve">2.13. Победителями конкурсного отбора признаются участники, набравшие в сумме наибольшее количество баллов, но не менее 50 баллов, до полного распределения лимитов бюджетных обязательств, доведенных до комитета.</w:t>
      </w:r>
    </w:p>
    <w:p>
      <w:pPr>
        <w:pStyle w:val="0"/>
        <w:spacing w:before="200" w:line-rule="auto"/>
        <w:ind w:firstLine="540"/>
        <w:jc w:val="both"/>
      </w:pPr>
      <w:r>
        <w:rPr>
          <w:sz w:val="20"/>
        </w:rPr>
        <w:t xml:space="preserve">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pPr>
        <w:pStyle w:val="0"/>
        <w:spacing w:before="200" w:line-rule="auto"/>
        <w:ind w:firstLine="540"/>
        <w:jc w:val="both"/>
      </w:pPr>
      <w:r>
        <w:rPr>
          <w:sz w:val="20"/>
        </w:rPr>
        <w:t xml:space="preserve">2.14.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а также на официальном сайте комитета в информационно-телекоммуникационной сети "Интернет" в течение трех рабочих дней с даты его подписания.</w:t>
      </w:r>
    </w:p>
    <w:p>
      <w:pPr>
        <w:pStyle w:val="0"/>
        <w:spacing w:before="200" w:line-rule="auto"/>
        <w:ind w:firstLine="540"/>
        <w:jc w:val="both"/>
      </w:pPr>
      <w:r>
        <w:rPr>
          <w:sz w:val="20"/>
        </w:rPr>
        <w:t xml:space="preserve">2.15.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pPr>
        <w:pStyle w:val="0"/>
        <w:spacing w:before="200" w:line-rule="auto"/>
        <w:ind w:firstLine="540"/>
        <w:jc w:val="both"/>
      </w:pPr>
      <w:r>
        <w:rPr>
          <w:sz w:val="20"/>
        </w:rPr>
        <w:t xml:space="preserve">Комитет в срок не позднее трех рабочих дней с даты издания распоряжения размещает на едином портале и на официальном сайте комитета в информационно-телекоммуникационной сети "Интернет" информацию о результатах конкурсного отбора, включающую:</w:t>
      </w:r>
    </w:p>
    <w:p>
      <w:pPr>
        <w:pStyle w:val="0"/>
        <w:spacing w:before="200" w:line-rule="auto"/>
        <w:ind w:firstLine="540"/>
        <w:jc w:val="both"/>
      </w:pPr>
      <w:r>
        <w:rPr>
          <w:sz w:val="20"/>
        </w:rPr>
        <w:t xml:space="preserve">дату, время и место рассмотрения заявок на соответствие требованиям настоящего Порядка;</w:t>
      </w:r>
    </w:p>
    <w:p>
      <w:pPr>
        <w:pStyle w:val="0"/>
        <w:spacing w:before="200" w:line-rule="auto"/>
        <w:ind w:firstLine="540"/>
        <w:jc w:val="both"/>
      </w:pPr>
      <w:r>
        <w:rPr>
          <w:sz w:val="20"/>
        </w:rPr>
        <w:t xml:space="preserve">дату, время и место оценки заявок участников конкурсного отбора;</w:t>
      </w:r>
    </w:p>
    <w:p>
      <w:pPr>
        <w:pStyle w:val="0"/>
        <w:spacing w:before="200" w:line-rule="auto"/>
        <w:ind w:firstLine="540"/>
        <w:jc w:val="both"/>
      </w:pPr>
      <w:r>
        <w:rPr>
          <w:sz w:val="20"/>
        </w:rPr>
        <w:t xml:space="preserve">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2.16.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w:t>
      </w:r>
    </w:p>
    <w:p>
      <w:pPr>
        <w:pStyle w:val="0"/>
        <w:spacing w:before="200" w:line-rule="auto"/>
        <w:ind w:firstLine="540"/>
        <w:jc w:val="both"/>
      </w:pPr>
      <w:r>
        <w:rPr>
          <w:sz w:val="20"/>
        </w:rPr>
        <w:t xml:space="preserve">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pPr>
        <w:pStyle w:val="0"/>
        <w:spacing w:before="200" w:line-rule="auto"/>
        <w:ind w:firstLine="540"/>
        <w:jc w:val="both"/>
      </w:pPr>
      <w:r>
        <w:rPr>
          <w:sz w:val="20"/>
        </w:rPr>
        <w:t xml:space="preserve">2.17. Соглашение заключается комитетом не позднее 10 рабочих дней с даты издания распоряжения комитета.</w:t>
      </w:r>
    </w:p>
    <w:p>
      <w:pPr>
        <w:pStyle w:val="0"/>
        <w:spacing w:before="200" w:line-rule="auto"/>
        <w:ind w:firstLine="540"/>
        <w:jc w:val="both"/>
      </w:pPr>
      <w:r>
        <w:rPr>
          <w:sz w:val="20"/>
        </w:rPr>
        <w:t xml:space="preserve">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правовым актом Комитета финансов Ленинградской области.</w:t>
      </w:r>
    </w:p>
    <w:p>
      <w:pPr>
        <w:pStyle w:val="0"/>
        <w:spacing w:before="200" w:line-rule="auto"/>
        <w:ind w:firstLine="540"/>
        <w:jc w:val="both"/>
      </w:pPr>
      <w:r>
        <w:rPr>
          <w:sz w:val="20"/>
        </w:rPr>
        <w:t xml:space="preserve">2.18. В случае если совокупный размер субсидии, запрашиваемый победителями отбора согласно заявкам, не превышает лимитов бюджетных обязательств, доведенных до комитета, субсидии устанавливаются в запрашиваемых размерах.</w:t>
      </w:r>
    </w:p>
    <w:p>
      <w:pPr>
        <w:pStyle w:val="0"/>
        <w:spacing w:before="200" w:line-rule="auto"/>
        <w:ind w:firstLine="540"/>
        <w:jc w:val="both"/>
      </w:pPr>
      <w:r>
        <w:rPr>
          <w:sz w:val="20"/>
        </w:rPr>
        <w:t xml:space="preserve">2.19. В случае если совокупный размер субсидии, запрашиваемый победителями отбора согласно заявкам, превышает лимиты бюджетных обязательств, доведенных до комитета, размер субсидии победителя, набравшего минимальное количество баллов, с его письменного согласия снижается на размер превышения.</w:t>
      </w:r>
    </w:p>
    <w:p>
      <w:pPr>
        <w:pStyle w:val="0"/>
        <w:spacing w:before="200" w:line-rule="auto"/>
        <w:ind w:firstLine="540"/>
        <w:jc w:val="both"/>
      </w:pPr>
      <w:r>
        <w:rPr>
          <w:sz w:val="20"/>
        </w:rPr>
        <w:t xml:space="preserve">В случае отказа победителя отбора, имеющего наименьший балл, от снижения размера субсидии получателем субсидии признается следующий участник, набравший наименьшее количество баллов.</w:t>
      </w:r>
    </w:p>
    <w:p>
      <w:pPr>
        <w:pStyle w:val="0"/>
        <w:spacing w:before="200" w:line-rule="auto"/>
        <w:ind w:firstLine="540"/>
        <w:jc w:val="both"/>
      </w:pPr>
      <w:r>
        <w:rPr>
          <w:sz w:val="20"/>
        </w:rPr>
        <w:t xml:space="preserve">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 которые были возвращены в областной бюджет, а также в случае увеличения бюджетных ассигнований комитет проводит дополнительный отбор в соответствии с настоящим Порядком.</w:t>
      </w:r>
    </w:p>
    <w:p>
      <w:pPr>
        <w:pStyle w:val="0"/>
        <w:spacing w:before="200" w:line-rule="auto"/>
        <w:ind w:firstLine="540"/>
        <w:jc w:val="both"/>
      </w:pPr>
      <w:r>
        <w:rPr>
          <w:sz w:val="20"/>
        </w:rPr>
        <w:t xml:space="preserve">2.20.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history="0" w:anchor="P2156" w:tooltip="1.3. Субсидии предоставляются на финансовое обеспечение поддержки общественных инициатив, в рамках которых реализуются мероприятия, направленные на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bookmarkStart w:id="2328" w:name="P2328"/>
    <w:bookmarkEnd w:id="2328"/>
    <w:p>
      <w:pPr>
        <w:pStyle w:val="0"/>
        <w:spacing w:before="200" w:line-rule="auto"/>
        <w:ind w:firstLine="540"/>
        <w:jc w:val="both"/>
      </w:pPr>
      <w:r>
        <w:rPr>
          <w:sz w:val="20"/>
        </w:rPr>
        <w:t xml:space="preserve">2.21. Планируемым результатом использования субсидии является количество общественных инициатив, направленных на создание модульных некапитальных средств размещения (кемпингов и автокемпингов).</w:t>
      </w:r>
    </w:p>
    <w:bookmarkStart w:id="2329" w:name="P2329"/>
    <w:bookmarkEnd w:id="2329"/>
    <w:p>
      <w:pPr>
        <w:pStyle w:val="0"/>
        <w:spacing w:before="200" w:line-rule="auto"/>
        <w:ind w:firstLine="540"/>
        <w:jc w:val="both"/>
      </w:pPr>
      <w:r>
        <w:rPr>
          <w:sz w:val="20"/>
        </w:rPr>
        <w:t xml:space="preserve">2.22. Показателем, необходимым для достижения результата предоставления субсидии, является количество реализованных проектов.</w:t>
      </w:r>
    </w:p>
    <w:p>
      <w:pPr>
        <w:pStyle w:val="0"/>
        <w:spacing w:before="200" w:line-rule="auto"/>
        <w:ind w:firstLine="540"/>
        <w:jc w:val="both"/>
      </w:pPr>
      <w:r>
        <w:rPr>
          <w:sz w:val="20"/>
        </w:rPr>
        <w:t xml:space="preserve">Значение показателя устанавливается комитетом в соглашении.</w:t>
      </w:r>
    </w:p>
    <w:p>
      <w:pPr>
        <w:pStyle w:val="0"/>
        <w:spacing w:before="200" w:line-rule="auto"/>
        <w:ind w:firstLine="540"/>
        <w:jc w:val="both"/>
      </w:pPr>
      <w:r>
        <w:rPr>
          <w:sz w:val="20"/>
        </w:rPr>
        <w:t xml:space="preserve">2.23. Перечисление субсидии осуществляется Комитетом финансов Ленинградской области на основании заявки на расход, представленной комитетом, в соответствии с условиями соглашения, на:</w:t>
      </w:r>
    </w:p>
    <w:p>
      <w:pPr>
        <w:pStyle w:val="0"/>
        <w:spacing w:before="200" w:line-rule="auto"/>
        <w:ind w:firstLine="540"/>
        <w:jc w:val="both"/>
      </w:pPr>
      <w:r>
        <w:rPr>
          <w:sz w:val="20"/>
        </w:rPr>
        <w:t xml:space="preserve">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случае если средства не подлежат казначейскому сопровождению в соответствии с бюджетным законодательством Российской Федерации и Ленинградской области;</w:t>
      </w:r>
    </w:p>
    <w:p>
      <w:pPr>
        <w:pStyle w:val="0"/>
        <w:spacing w:before="200" w:line-rule="auto"/>
        <w:ind w:firstLine="540"/>
        <w:jc w:val="both"/>
      </w:pPr>
      <w:r>
        <w:rPr>
          <w:sz w:val="20"/>
        </w:rPr>
        <w:t xml:space="preserve">лицевые счета, открытые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 в случае если средства подлежат казначейскому сопровождению в соответствии с бюджетным законодательством.</w:t>
      </w:r>
    </w:p>
    <w:p>
      <w:pPr>
        <w:pStyle w:val="0"/>
        <w:spacing w:before="200" w:line-rule="auto"/>
        <w:ind w:firstLine="540"/>
        <w:jc w:val="both"/>
      </w:pPr>
      <w:r>
        <w:rPr>
          <w:sz w:val="20"/>
        </w:rPr>
        <w:t xml:space="preserve">В случае если средства субсидий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ind w:firstLine="540"/>
        <w:jc w:val="both"/>
      </w:pPr>
      <w:r>
        <w:rPr>
          <w:sz w:val="20"/>
        </w:rPr>
      </w:r>
    </w:p>
    <w:p>
      <w:pPr>
        <w:pStyle w:val="2"/>
        <w:outlineLvl w:val="2"/>
        <w:jc w:val="center"/>
      </w:pPr>
      <w:r>
        <w:rPr>
          <w:sz w:val="20"/>
        </w:rPr>
        <w:t xml:space="preserve">3. Требования к отчетности</w:t>
      </w:r>
    </w:p>
    <w:p>
      <w:pPr>
        <w:pStyle w:val="0"/>
        <w:ind w:firstLine="540"/>
        <w:jc w:val="both"/>
      </w:pPr>
      <w:r>
        <w:rPr>
          <w:sz w:val="20"/>
        </w:rPr>
      </w:r>
    </w:p>
    <w:p>
      <w:pPr>
        <w:pStyle w:val="0"/>
        <w:ind w:firstLine="540"/>
        <w:jc w:val="both"/>
      </w:pPr>
      <w:r>
        <w:rPr>
          <w:sz w:val="20"/>
        </w:rPr>
        <w:t xml:space="preserve">3.1.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history="0" w:anchor="P2328" w:tooltip="2.21. Планируемым результатом использования субсидии является количество общественных инициатив, направленных на создание модульных некапитальных средств размещения (кемпингов и автокемпингов).">
        <w:r>
          <w:rPr>
            <w:sz w:val="20"/>
            <w:color w:val="0000ff"/>
          </w:rPr>
          <w:t xml:space="preserve">пунктами 2.21</w:t>
        </w:r>
      </w:hyperlink>
      <w:r>
        <w:rPr>
          <w:sz w:val="20"/>
        </w:rPr>
        <w:t xml:space="preserve"> и </w:t>
      </w:r>
      <w:hyperlink w:history="0" w:anchor="P2329" w:tooltip="2.22. Показателем, необходимым для достижения результата предоставления субсидии, является количество реализованных проектов.">
        <w:r>
          <w:rPr>
            <w:sz w:val="20"/>
            <w:color w:val="0000ff"/>
          </w:rPr>
          <w:t xml:space="preserve">2.22</w:t>
        </w:r>
      </w:hyperlink>
      <w:r>
        <w:rPr>
          <w:sz w:val="20"/>
        </w:rP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Министерства финансов Российской Федерации.</w:t>
      </w:r>
    </w:p>
    <w:p>
      <w:pPr>
        <w:pStyle w:val="0"/>
        <w:spacing w:before="200" w:line-rule="auto"/>
        <w:ind w:firstLine="540"/>
        <w:jc w:val="both"/>
      </w:pPr>
      <w:r>
        <w:rPr>
          <w:sz w:val="20"/>
        </w:rPr>
        <w:t xml:space="preserve">3.2. Сроки представления и формы дополнительной отчетности устанавливаются в соглашении.</w:t>
      </w:r>
    </w:p>
    <w:p>
      <w:pPr>
        <w:pStyle w:val="0"/>
        <w:jc w:val="center"/>
      </w:pPr>
      <w:r>
        <w:rPr>
          <w:sz w:val="20"/>
        </w:rPr>
      </w:r>
    </w:p>
    <w:p>
      <w:pPr>
        <w:pStyle w:val="2"/>
        <w:outlineLvl w:val="2"/>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4.1.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органом государственного финансового контроля Ленинградской области осуществляется проверка в соответствии со </w:t>
      </w:r>
      <w:hyperlink w:history="0" r:id="rId13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3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2346" w:name="P2346"/>
    <w:bookmarkEnd w:id="2346"/>
    <w:p>
      <w:pPr>
        <w:pStyle w:val="0"/>
        <w:spacing w:before="200" w:line-rule="auto"/>
        <w:ind w:firstLine="540"/>
        <w:jc w:val="both"/>
      </w:pPr>
      <w:r>
        <w:rPr>
          <w:sz w:val="20"/>
        </w:rPr>
        <w:t xml:space="preserve">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целей, порядка предоставления субсидии и заключенного соглашения, а также недостижения значений показателей результатов предоставления субсидии соответствующие средства подлежат возврату в доход областного бюджета Ленинградской области:</w:t>
      </w:r>
    </w:p>
    <w:p>
      <w:pPr>
        <w:pStyle w:val="0"/>
        <w:spacing w:before="200" w:line-rule="auto"/>
        <w:ind w:firstLine="540"/>
        <w:jc w:val="both"/>
      </w:pPr>
      <w:r>
        <w:rPr>
          <w:sz w:val="20"/>
        </w:rPr>
        <w:t xml:space="preserve">на основании письменного требования комитета - не позднее 10 рабочих дней с даты получения получателем субсидии указанного требования;</w:t>
      </w:r>
    </w:p>
    <w:p>
      <w:pPr>
        <w:pStyle w:val="0"/>
        <w:spacing w:before="200" w:line-rule="auto"/>
        <w:ind w:firstLine="540"/>
        <w:jc w:val="both"/>
      </w:pPr>
      <w:r>
        <w:rPr>
          <w:sz w:val="20"/>
        </w:rPr>
        <w:t xml:space="preserve">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pPr>
        <w:pStyle w:val="0"/>
        <w:spacing w:before="200" w:line-rule="auto"/>
        <w:ind w:firstLine="540"/>
        <w:jc w:val="both"/>
      </w:pPr>
      <w:r>
        <w:rPr>
          <w:sz w:val="20"/>
        </w:rPr>
        <w:t xml:space="preserve">4.3. В случае неперечисления получателем субсидии средств субсидии в областной бюджет в сроки, установленные </w:t>
      </w:r>
      <w:hyperlink w:history="0" w:anchor="P2346" w:tooltip="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целей, порядка предоставления субсидии и заключенного соглашения, а также недостижения значений показателей результатов предоставления субсидии соответствующие средства подлежат возврату в доход областного бюджета Ленинградской области:">
        <w:r>
          <w:rPr>
            <w:sz w:val="20"/>
            <w:color w:val="0000ff"/>
          </w:rPr>
          <w:t xml:space="preserve">пунктом 4.2</w:t>
        </w:r>
      </w:hyperlink>
      <w:r>
        <w:rPr>
          <w:sz w:val="20"/>
        </w:rPr>
        <w:t xml:space="preserve"> настоящего Порядка, взыскание денежных средств осуществляется в судебном порядке.</w:t>
      </w:r>
    </w:p>
    <w:p>
      <w:pPr>
        <w:pStyle w:val="0"/>
        <w:spacing w:before="200" w:line-rule="auto"/>
        <w:ind w:firstLine="540"/>
        <w:jc w:val="both"/>
      </w:pPr>
      <w:r>
        <w:rPr>
          <w:sz w:val="20"/>
        </w:rPr>
        <w:t xml:space="preserve">4.4. Возврат остатков субсидии, по которым принято решение о возврате, осуществляется получателем субсидии в порядке и сроки, установленные в соглашении, но не позднее 1 апреля текущего финансового года.</w:t>
      </w:r>
    </w:p>
    <w:p>
      <w:pPr>
        <w:pStyle w:val="0"/>
        <w:spacing w:before="200" w:line-rule="auto"/>
        <w:ind w:firstLine="540"/>
        <w:jc w:val="both"/>
      </w:pPr>
      <w:r>
        <w:rPr>
          <w:sz w:val="20"/>
        </w:rPr>
        <w:t xml:space="preserve">4.5.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center"/>
      </w:pPr>
      <w:r>
        <w:rPr>
          <w:sz w:val="20"/>
        </w:rPr>
      </w:r>
    </w:p>
    <w:bookmarkStart w:id="2360" w:name="P2360"/>
    <w:bookmarkEnd w:id="2360"/>
    <w:p>
      <w:pPr>
        <w:pStyle w:val="2"/>
        <w:jc w:val="center"/>
      </w:pPr>
      <w:r>
        <w:rPr>
          <w:sz w:val="20"/>
        </w:rPr>
        <w:t xml:space="preserve">ПОРЯДОК</w:t>
      </w:r>
    </w:p>
    <w:p>
      <w:pPr>
        <w:pStyle w:val="2"/>
        <w:jc w:val="center"/>
      </w:pPr>
      <w:r>
        <w:rPr>
          <w:sz w:val="20"/>
        </w:rPr>
        <w:t xml:space="preserve">ОПРЕДЕЛЕНИЯ ОБЪЕМА И ПРЕДОСТАВЛЕНИЯ ИЗ ОБЛАСТНОГО БЮДЖЕТА</w:t>
      </w:r>
    </w:p>
    <w:p>
      <w:pPr>
        <w:pStyle w:val="2"/>
        <w:jc w:val="center"/>
      </w:pPr>
      <w:r>
        <w:rPr>
          <w:sz w:val="20"/>
        </w:rPr>
        <w:t xml:space="preserve">ЛЕНИНГРАДСКОЙ ОБЛАСТИ СУБСИДИЙ ЮРИДИЧЕСКИМ ЛИЦАМ,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И ИНДИВИДУАЛЬНЫМ ПРЕДПРИНИМАТЕЛЯМ В ЦЕЛЯХ</w:t>
      </w:r>
    </w:p>
    <w:p>
      <w:pPr>
        <w:pStyle w:val="2"/>
        <w:jc w:val="center"/>
      </w:pPr>
      <w:r>
        <w:rPr>
          <w:sz w:val="20"/>
        </w:rPr>
        <w:t xml:space="preserve">ОСУЩЕСТВЛЕНИЯ ГОСУДАРСТВЕННОЙ ПОДДЕРЖКИ РАЗВИТИЯ</w:t>
      </w:r>
    </w:p>
    <w:p>
      <w:pPr>
        <w:pStyle w:val="2"/>
        <w:jc w:val="center"/>
      </w:pPr>
      <w:r>
        <w:rPr>
          <w:sz w:val="20"/>
        </w:rPr>
        <w:t xml:space="preserve">ИНФРАСТРУКТУРЫ ТУРИЗМА НА ТЕРРИТОРИИ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8" w:tooltip="Постановление Правительства Ленинградской области от 21.06.2023 N 414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21.06.2023 N 414; в ред. </w:t>
            </w:r>
            <w:hyperlink w:history="0" r:id="rId139" w:tooltip="Постановление Правительства Ленинградской области от 24.08.2023 N 58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w:t>
            </w:r>
          </w:p>
          <w:p>
            <w:pPr>
              <w:pStyle w:val="0"/>
              <w:jc w:val="center"/>
            </w:pPr>
            <w:r>
              <w:rPr>
                <w:sz w:val="20"/>
                <w:color w:val="392c69"/>
              </w:rPr>
              <w:t xml:space="preserve">области от 24.08.2023 N 585)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юридическим лицам, не являющимся государственными (муниципальными) учреждениями, и индивидуальным предпринимателям в целях осуществления государственной поддержки проектов, направленных на развитие инфраструктуры туризма на территории Ленинградской области, в рамках структурного элемента "Федеральный (региональный) проект "Развитие туристической инфраструктуры" государственной программы Ленинградской области "Развитие внутреннего и въездного туризма в Ленинградской области" (далее - субсидии, проекты).</w:t>
      </w:r>
    </w:p>
    <w:p>
      <w:pPr>
        <w:pStyle w:val="0"/>
        <w:spacing w:before="200" w:line-rule="auto"/>
        <w:ind w:firstLine="540"/>
        <w:jc w:val="both"/>
      </w:pPr>
      <w:r>
        <w:rPr>
          <w:sz w:val="20"/>
        </w:rPr>
        <w:t xml:space="preserve">1.2. В настоящем Порядке применяются следующие основные понятия:</w:t>
      </w:r>
    </w:p>
    <w:p>
      <w:pPr>
        <w:pStyle w:val="0"/>
        <w:spacing w:before="200" w:line-rule="auto"/>
        <w:ind w:firstLine="540"/>
        <w:jc w:val="both"/>
      </w:pPr>
      <w:r>
        <w:rPr>
          <w:sz w:val="20"/>
        </w:rPr>
        <w:t xml:space="preserve">главный распорядитель бюджетных средств - комитет по культуре и туризму Ленинградской области (далее - комитет);</w:t>
      </w:r>
    </w:p>
    <w:p>
      <w:pPr>
        <w:pStyle w:val="0"/>
        <w:spacing w:before="200" w:line-rule="auto"/>
        <w:ind w:firstLine="540"/>
        <w:jc w:val="both"/>
      </w:pPr>
      <w:r>
        <w:rPr>
          <w:sz w:val="20"/>
        </w:rPr>
        <w:t xml:space="preserve">конкурсная комиссия - коллегиальный орган, образованный для проведения конкурсного отбора. Состав и положение о конкурсной комиссии утверждаются правовыми актами комитета;</w:t>
      </w:r>
    </w:p>
    <w:p>
      <w:pPr>
        <w:pStyle w:val="0"/>
        <w:spacing w:before="200" w:line-rule="auto"/>
        <w:ind w:firstLine="540"/>
        <w:jc w:val="both"/>
      </w:pPr>
      <w:r>
        <w:rPr>
          <w:sz w:val="20"/>
        </w:rPr>
        <w:t xml:space="preserve">проект - комплекс взаимосвязанных мероприятий, направленных на развитие туристической инфраструктуры на территории Ленинградской области по одному из направлений, указанных в </w:t>
      </w:r>
      <w:hyperlink w:history="0" w:anchor="P2381" w:tooltip="1.3. Субсидии предоставляются на финансовое обеспечение государственной поддержки проектов, направленных на развитие инфраструктуры туризма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инклюзивный туризм - равная доступность объектов, культурных и образовательных программ, оборудования и условий обслуживания и т.д. для людей без инвалидности и людей с инвалидностью.</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bookmarkStart w:id="2381" w:name="P2381"/>
    <w:bookmarkEnd w:id="2381"/>
    <w:p>
      <w:pPr>
        <w:pStyle w:val="0"/>
        <w:spacing w:before="200" w:line-rule="auto"/>
        <w:ind w:firstLine="540"/>
        <w:jc w:val="both"/>
      </w:pPr>
      <w:r>
        <w:rPr>
          <w:sz w:val="20"/>
        </w:rPr>
        <w:t xml:space="preserve">1.3. Субсидии предоставляются на финансовое обеспечение государственной поддержки проектов, направленных на развитие инфраструктуры туризма на территории Ленинградской области, по следующим направлениям:</w:t>
      </w:r>
    </w:p>
    <w:bookmarkStart w:id="2382" w:name="P2382"/>
    <w:bookmarkEnd w:id="2382"/>
    <w:p>
      <w:pPr>
        <w:pStyle w:val="0"/>
        <w:spacing w:before="200" w:line-rule="auto"/>
        <w:ind w:firstLine="540"/>
        <w:jc w:val="both"/>
      </w:pPr>
      <w:r>
        <w:rPr>
          <w:sz w:val="20"/>
        </w:rPr>
        <w:t xml:space="preserve">а) приобретение туристского оборудования (оборудование, снаряжение, инвентарь, немоторные средства передвижения, экипировка, товары для отдыха, предназначенные для обеспечения туристской деятельности),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w:t>
      </w:r>
    </w:p>
    <w:bookmarkStart w:id="2383" w:name="P2383"/>
    <w:bookmarkEnd w:id="2383"/>
    <w:p>
      <w:pPr>
        <w:pStyle w:val="0"/>
        <w:spacing w:before="200" w:line-rule="auto"/>
        <w:ind w:firstLine="540"/>
        <w:jc w:val="both"/>
      </w:pPr>
      <w:r>
        <w:rPr>
          <w:sz w:val="20"/>
        </w:rPr>
        <w:t xml:space="preserve">б) разработка новых туристских маршрутов (включая маркировку, навигацию, обеспечение безопасности, организацию выделенных зон отдыха);</w:t>
      </w:r>
    </w:p>
    <w:bookmarkStart w:id="2384" w:name="P2384"/>
    <w:bookmarkEnd w:id="2384"/>
    <w:p>
      <w:pPr>
        <w:pStyle w:val="0"/>
        <w:spacing w:before="200" w:line-rule="auto"/>
        <w:ind w:firstLine="540"/>
        <w:jc w:val="both"/>
      </w:pPr>
      <w:r>
        <w:rPr>
          <w:sz w:val="20"/>
        </w:rPr>
        <w:t xml:space="preserve">в)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w:t>
      </w:r>
    </w:p>
    <w:p>
      <w:pPr>
        <w:pStyle w:val="0"/>
        <w:spacing w:before="200" w:line-rule="auto"/>
        <w:ind w:firstLine="540"/>
        <w:jc w:val="both"/>
      </w:pPr>
      <w:r>
        <w:rPr>
          <w:sz w:val="20"/>
        </w:rPr>
        <w:t xml:space="preserve">1.4.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history="0" w:anchor="P2381" w:tooltip="1.3. Субсидии предоставляются на финансовое обеспечение государственной поддержки проектов, направленных на развитие инфраструктуры туризма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w:t>
      </w:r>
    </w:p>
    <w:bookmarkStart w:id="2386" w:name="P2386"/>
    <w:bookmarkEnd w:id="2386"/>
    <w:p>
      <w:pPr>
        <w:pStyle w:val="0"/>
        <w:spacing w:before="200" w:line-rule="auto"/>
        <w:ind w:firstLine="540"/>
        <w:jc w:val="both"/>
      </w:pPr>
      <w:r>
        <w:rPr>
          <w:sz w:val="20"/>
        </w:rPr>
        <w:t xml:space="preserve">1.5. Категория получателей субсидий - юридические лица, не являющимся государственными (муниципальными) учреждениями, и индивидуальные предприниматели, зарегистрированные на территории Ленинградской области в порядке, установленном законодательством Российской Федерации, реализующие проекты, указанные в </w:t>
      </w:r>
      <w:hyperlink w:history="0" w:anchor="P2381" w:tooltip="1.3. Субсидии предоставляются на финансовое обеспечение государственной поддержки проектов, направленных на развитие инфраструктуры туризма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 (далее - участники конкурсного отбора, получатели субсидий).</w:t>
      </w:r>
    </w:p>
    <w:p>
      <w:pPr>
        <w:pStyle w:val="0"/>
        <w:spacing w:before="200" w:line-rule="auto"/>
        <w:ind w:firstLine="540"/>
        <w:jc w:val="both"/>
      </w:pPr>
      <w:r>
        <w:rPr>
          <w:sz w:val="20"/>
        </w:rPr>
        <w:t xml:space="preserve">1.6. Способом отбора получателей субсидии является конкурс (далее - конкурсный отбор).</w:t>
      </w:r>
    </w:p>
    <w:p>
      <w:pPr>
        <w:pStyle w:val="0"/>
        <w:spacing w:before="200" w:line-rule="auto"/>
        <w:ind w:firstLine="540"/>
        <w:jc w:val="both"/>
      </w:pPr>
      <w:r>
        <w:rPr>
          <w:sz w:val="20"/>
        </w:rPr>
        <w:t xml:space="preserve">1.7.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pPr>
        <w:pStyle w:val="0"/>
        <w:ind w:firstLine="54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r>
    </w:p>
    <w:bookmarkStart w:id="2392" w:name="P2392"/>
    <w:bookmarkEnd w:id="2392"/>
    <w:p>
      <w:pPr>
        <w:pStyle w:val="0"/>
        <w:ind w:firstLine="540"/>
        <w:jc w:val="both"/>
      </w:pPr>
      <w:r>
        <w:rPr>
          <w:sz w:val="20"/>
        </w:rPr>
        <w:t xml:space="preserve">2.1. Субсидии предоставляются при соблюдении следующих условий:</w:t>
      </w:r>
    </w:p>
    <w:p>
      <w:pPr>
        <w:pStyle w:val="0"/>
        <w:spacing w:before="200" w:line-rule="auto"/>
        <w:ind w:firstLine="540"/>
        <w:jc w:val="both"/>
      </w:pPr>
      <w:r>
        <w:rPr>
          <w:sz w:val="20"/>
        </w:rPr>
        <w:t xml:space="preserve">1) соответствие участника конкурсного отбора категории, установленной </w:t>
      </w:r>
      <w:hyperlink w:history="0" w:anchor="P2386" w:tooltip="1.5. Категория получателей субсидий - юридические лица, не являющимся государственными (муниципальными) учреждениями, и индивидуальные предприниматели, зарегистрированные на территории Ленинградской области в порядке, установленном законодательством Российской Федерации, реализующие проекты, указанные в пункте 1.3 настоящего Порядка (далее - участники конкурсного отбора, получатели субсидий).">
        <w:r>
          <w:rPr>
            <w:sz w:val="20"/>
            <w:color w:val="0000ff"/>
          </w:rPr>
          <w:t xml:space="preserve">пунктом 1.5</w:t>
        </w:r>
      </w:hyperlink>
      <w:r>
        <w:rPr>
          <w:sz w:val="20"/>
        </w:rPr>
        <w:t xml:space="preserve"> настоящего Порядка;</w:t>
      </w:r>
    </w:p>
    <w:bookmarkStart w:id="2394" w:name="P2394"/>
    <w:bookmarkEnd w:id="2394"/>
    <w:p>
      <w:pPr>
        <w:pStyle w:val="0"/>
        <w:spacing w:before="200" w:line-rule="auto"/>
        <w:ind w:firstLine="540"/>
        <w:jc w:val="both"/>
      </w:pPr>
      <w:r>
        <w:rPr>
          <w:sz w:val="20"/>
        </w:rPr>
        <w:t xml:space="preserve">2) соответствие участника конкурсного отбора по состоянию на дату подачи заявки следующим требованиям:</w:t>
      </w:r>
    </w:p>
    <w:p>
      <w:pPr>
        <w:pStyle w:val="0"/>
        <w:spacing w:before="200" w:line-rule="auto"/>
        <w:ind w:firstLine="540"/>
        <w:jc w:val="both"/>
      </w:pPr>
      <w:r>
        <w:rPr>
          <w:sz w:val="20"/>
        </w:rPr>
        <w:t xml:space="preserve">а)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pPr>
        <w:pStyle w:val="0"/>
        <w:spacing w:before="200" w:line-rule="auto"/>
        <w:ind w:firstLine="540"/>
        <w:jc w:val="both"/>
      </w:pPr>
      <w:r>
        <w:rPr>
          <w:sz w:val="20"/>
        </w:rPr>
        <w:t xml:space="preserve">б)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участник конкурсного отбора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г) участник конкурсного отбора не должен находиться в реестре недобросовестных поставщиков;</w:t>
      </w:r>
    </w:p>
    <w:p>
      <w:pPr>
        <w:pStyle w:val="0"/>
        <w:spacing w:before="200" w:line-rule="auto"/>
        <w:ind w:firstLine="540"/>
        <w:jc w:val="both"/>
      </w:pPr>
      <w:r>
        <w:rPr>
          <w:sz w:val="20"/>
        </w:rPr>
        <w:t xml:space="preserve">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pPr>
        <w:pStyle w:val="0"/>
        <w:spacing w:before="200" w:line-rule="auto"/>
        <w:ind w:firstLine="540"/>
        <w:jc w:val="both"/>
      </w:pPr>
      <w:r>
        <w:rPr>
          <w:sz w:val="20"/>
        </w:rPr>
        <w:t xml:space="preserve">е) участник конкурсного отбора не имеет задолженности перед работниками по заработной плате;</w:t>
      </w:r>
    </w:p>
    <w:p>
      <w:pPr>
        <w:pStyle w:val="0"/>
        <w:spacing w:before="200" w:line-rule="auto"/>
        <w:ind w:firstLine="540"/>
        <w:jc w:val="both"/>
      </w:pPr>
      <w:r>
        <w:rPr>
          <w:sz w:val="20"/>
        </w:rPr>
        <w:t xml:space="preserve">ж) при наличии у участника конкурсного отбора наемных работников их заработная плата должна быть не ниже размера, установленного региональным соглашением о минимальной заработной плате в Ленинградской области;</w:t>
      </w:r>
    </w:p>
    <w:p>
      <w:pPr>
        <w:pStyle w:val="0"/>
        <w:spacing w:before="200" w:line-rule="auto"/>
        <w:ind w:firstLine="540"/>
        <w:jc w:val="both"/>
      </w:pPr>
      <w:r>
        <w:rPr>
          <w:sz w:val="20"/>
        </w:rPr>
        <w:t xml:space="preserve">з)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налоговым органом на основании запроса комитета, направленного в течение двух рабочих дней со дня окончания срока приема заявок, справки об исполнении обязанности по уплате налогов, сборов, пеней, штрафов, процентов;</w:t>
      </w:r>
    </w:p>
    <w:p>
      <w:pPr>
        <w:pStyle w:val="0"/>
        <w:spacing w:before="200" w:line-rule="auto"/>
        <w:ind w:firstLine="540"/>
        <w:jc w:val="both"/>
      </w:pPr>
      <w:r>
        <w:rPr>
          <w:sz w:val="20"/>
        </w:rPr>
        <w:t xml:space="preserve">4)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pPr>
        <w:pStyle w:val="0"/>
        <w:spacing w:before="200" w:line-rule="auto"/>
        <w:ind w:firstLine="540"/>
        <w:jc w:val="both"/>
      </w:pPr>
      <w:r>
        <w:rPr>
          <w:sz w:val="20"/>
        </w:rPr>
        <w:t xml:space="preserve">5) согласие получателя субсидии 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w:history="0" r:id="rId14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4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6) соблюдение получателем субсидии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pPr>
        <w:pStyle w:val="0"/>
        <w:spacing w:before="200" w:line-rule="auto"/>
        <w:ind w:firstLine="540"/>
        <w:jc w:val="both"/>
      </w:pPr>
      <w:r>
        <w:rPr>
          <w:sz w:val="20"/>
        </w:rPr>
        <w:t xml:space="preserve">7)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pPr>
        <w:pStyle w:val="0"/>
        <w:spacing w:before="200" w:line-rule="auto"/>
        <w:ind w:firstLine="540"/>
        <w:jc w:val="both"/>
      </w:pPr>
      <w:r>
        <w:rPr>
          <w:sz w:val="20"/>
        </w:rPr>
        <w:t xml:space="preserve">8) представление документов, указанных в </w:t>
      </w:r>
      <w:hyperlink w:history="0" w:anchor="P2432" w:tooltip="2.5. Для участия в конкурсном отборе участник представляет в комитет заявку, включающую следующие документы:">
        <w:r>
          <w:rPr>
            <w:sz w:val="20"/>
            <w:color w:val="0000ff"/>
          </w:rPr>
          <w:t xml:space="preserve">пункте 2.5</w:t>
        </w:r>
      </w:hyperlink>
      <w:r>
        <w:rPr>
          <w:sz w:val="20"/>
        </w:rPr>
        <w:t xml:space="preserve"> настоящего Порядка, в сроки, определенные в соответствии с </w:t>
      </w:r>
      <w:hyperlink w:history="0" w:anchor="P2415" w:tooltip="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quot;Интернет&quot;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
        <w:r>
          <w:rPr>
            <w:sz w:val="20"/>
            <w:color w:val="0000ff"/>
          </w:rPr>
          <w:t xml:space="preserve">пунктом 2.4</w:t>
        </w:r>
      </w:hyperlink>
      <w:r>
        <w:rPr>
          <w:sz w:val="20"/>
        </w:rPr>
        <w:t xml:space="preserve"> настоящего Порядка.</w:t>
      </w:r>
    </w:p>
    <w:bookmarkStart w:id="2409" w:name="P2409"/>
    <w:bookmarkEnd w:id="2409"/>
    <w:p>
      <w:pPr>
        <w:pStyle w:val="0"/>
        <w:spacing w:before="200" w:line-rule="auto"/>
        <w:ind w:firstLine="540"/>
        <w:jc w:val="both"/>
      </w:pPr>
      <w:r>
        <w:rPr>
          <w:sz w:val="20"/>
        </w:rPr>
        <w:t xml:space="preserve">2.2. Субсидии предоставляются на финансовое обеспечение затрат, связанных с реализацией проекта или отдельных мероприятий проекта, по следующим направлениям расходов: оплата труда работников, включая налог на доходы физических лиц, страховые взносы (начисления на оплату труда) в государственные внебюджетные фонды работников; оплата товаров; оплата работ; оплата услуг (услуги связи, транспортные услуги, арендная плата за пользование имуществом); на приобретение нефинансовых активов, в том числе на приобретение объектов интеллектуальной собственности, информационного и компьютерного телекоммуникационного оборудования и прочего оборудования, включая хозяйственный инвентарь, используемого для реализации проекта.</w:t>
      </w:r>
    </w:p>
    <w:p>
      <w:pPr>
        <w:pStyle w:val="0"/>
        <w:spacing w:before="200" w:line-rule="auto"/>
        <w:ind w:firstLine="540"/>
        <w:jc w:val="both"/>
      </w:pPr>
      <w:r>
        <w:rPr>
          <w:sz w:val="20"/>
        </w:rPr>
        <w:t xml:space="preserve">2.2.1. Субсидии не предоставляются на финансовое обеспечение затрат:</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 не связанной с реализацией проекта;</w:t>
      </w:r>
    </w:p>
    <w:p>
      <w:pPr>
        <w:pStyle w:val="0"/>
        <w:spacing w:before="200" w:line-rule="auto"/>
        <w:ind w:firstLine="540"/>
        <w:jc w:val="both"/>
      </w:pPr>
      <w:r>
        <w:rPr>
          <w:sz w:val="20"/>
        </w:rPr>
        <w:t xml:space="preserve">связанных с осуществлением деятельности, не связанной с реализацией проекта;</w:t>
      </w:r>
    </w:p>
    <w:p>
      <w:pPr>
        <w:pStyle w:val="0"/>
        <w:spacing w:before="200" w:line-rule="auto"/>
        <w:ind w:firstLine="540"/>
        <w:jc w:val="both"/>
      </w:pPr>
      <w:r>
        <w:rPr>
          <w:sz w:val="20"/>
        </w:rPr>
        <w:t xml:space="preserve">на оплату кредитов и займов.</w:t>
      </w:r>
    </w:p>
    <w:p>
      <w:pPr>
        <w:pStyle w:val="0"/>
        <w:spacing w:before="200" w:line-rule="auto"/>
        <w:ind w:firstLine="540"/>
        <w:jc w:val="both"/>
      </w:pPr>
      <w:r>
        <w:rPr>
          <w:sz w:val="20"/>
        </w:rPr>
        <w:t xml:space="preserve">2.3. Субсидии предоставляются по результатам конкурсного отбора.</w:t>
      </w:r>
    </w:p>
    <w:bookmarkStart w:id="2415" w:name="P2415"/>
    <w:bookmarkEnd w:id="2415"/>
    <w:p>
      <w:pPr>
        <w:pStyle w:val="0"/>
        <w:spacing w:before="200" w:line-rule="auto"/>
        <w:ind w:firstLine="540"/>
        <w:jc w:val="both"/>
      </w:pPr>
      <w:r>
        <w:rPr>
          <w:sz w:val="20"/>
        </w:rPr>
        <w:t xml:space="preserve">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w:t>
      </w:r>
    </w:p>
    <w:p>
      <w:pPr>
        <w:pStyle w:val="0"/>
        <w:spacing w:before="200" w:line-rule="auto"/>
        <w:ind w:firstLine="540"/>
        <w:jc w:val="both"/>
      </w:pPr>
      <w:r>
        <w:rPr>
          <w:sz w:val="20"/>
        </w:rPr>
        <w:t xml:space="preserve">а) срок проведения конкурсного отбора;</w:t>
      </w:r>
    </w:p>
    <w:p>
      <w:pPr>
        <w:pStyle w:val="0"/>
        <w:spacing w:before="200" w:line-rule="auto"/>
        <w:ind w:firstLine="540"/>
        <w:jc w:val="both"/>
      </w:pPr>
      <w:r>
        <w:rPr>
          <w:sz w:val="20"/>
        </w:rPr>
        <w:t xml:space="preserve">б) дата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в) 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г) результаты предоставления субсидий в соответствии с </w:t>
      </w:r>
      <w:hyperlink w:history="0" w:anchor="P2601" w:tooltip="2.23. Планируемым результатом использования субсидии является количество предпринимательских инициатив, направленных на развитие инфраструктуры туризма.">
        <w:r>
          <w:rPr>
            <w:sz w:val="20"/>
            <w:color w:val="0000ff"/>
          </w:rPr>
          <w:t xml:space="preserve">пунктом 2.23</w:t>
        </w:r>
      </w:hyperlink>
      <w:r>
        <w:rPr>
          <w:sz w:val="20"/>
        </w:rPr>
        <w:t xml:space="preserve"> настоящего Порядка;</w:t>
      </w:r>
    </w:p>
    <w:p>
      <w:pPr>
        <w:pStyle w:val="0"/>
        <w:spacing w:before="200" w:line-rule="auto"/>
        <w:ind w:firstLine="540"/>
        <w:jc w:val="both"/>
      </w:pPr>
      <w:r>
        <w:rPr>
          <w:sz w:val="20"/>
        </w:rPr>
        <w:t xml:space="preserve">д) максимальный размер субсидии;</w:t>
      </w:r>
    </w:p>
    <w:p>
      <w:pPr>
        <w:pStyle w:val="0"/>
        <w:spacing w:before="200" w:line-rule="auto"/>
        <w:ind w:firstLine="540"/>
        <w:jc w:val="both"/>
      </w:pPr>
      <w:r>
        <w:rPr>
          <w:sz w:val="20"/>
        </w:rPr>
        <w:t xml:space="preserve">е)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ж) требования к участникам конкурсного отбора в соответствии с </w:t>
      </w:r>
      <w:hyperlink w:history="0" w:anchor="P2392" w:tooltip="2.1. Субсидии предоставляются при соблюдении следующих условий:">
        <w:r>
          <w:rPr>
            <w:sz w:val="20"/>
            <w:color w:val="0000ff"/>
          </w:rPr>
          <w:t xml:space="preserve">пунктом 2.1</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history="0" w:anchor="P2432"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з)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pPr>
        <w:pStyle w:val="0"/>
        <w:spacing w:before="200" w:line-rule="auto"/>
        <w:ind w:firstLine="540"/>
        <w:jc w:val="both"/>
      </w:pPr>
      <w:r>
        <w:rPr>
          <w:sz w:val="20"/>
        </w:rPr>
        <w:t xml:space="preserve">и)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pPr>
        <w:pStyle w:val="0"/>
        <w:spacing w:before="200" w:line-rule="auto"/>
        <w:ind w:firstLine="540"/>
        <w:jc w:val="both"/>
      </w:pPr>
      <w:r>
        <w:rPr>
          <w:sz w:val="20"/>
        </w:rPr>
        <w:t xml:space="preserve">к) правила рассмотрения и оценки заявок участников конкурсного отбора;</w:t>
      </w:r>
    </w:p>
    <w:p>
      <w:pPr>
        <w:pStyle w:val="0"/>
        <w:spacing w:before="200" w:line-rule="auto"/>
        <w:ind w:firstLine="540"/>
        <w:jc w:val="both"/>
      </w:pPr>
      <w:r>
        <w:rPr>
          <w:sz w:val="20"/>
        </w:rPr>
        <w:t xml:space="preserve">л) 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м) срок, в течение которого победители конкурсного отбора должны подписать соглашения о предоставлении субсидии;</w:t>
      </w:r>
    </w:p>
    <w:p>
      <w:pPr>
        <w:pStyle w:val="0"/>
        <w:spacing w:before="200" w:line-rule="auto"/>
        <w:ind w:firstLine="540"/>
        <w:jc w:val="both"/>
      </w:pPr>
      <w:r>
        <w:rPr>
          <w:sz w:val="20"/>
        </w:rPr>
        <w:t xml:space="preserve">н) условия признания победителя (победителей) конкурсного отбора уклонившимся (уклонившимися) от заключения соглашения;</w:t>
      </w:r>
    </w:p>
    <w:p>
      <w:pPr>
        <w:pStyle w:val="0"/>
        <w:spacing w:before="200" w:line-rule="auto"/>
        <w:ind w:firstLine="540"/>
        <w:jc w:val="both"/>
      </w:pPr>
      <w:r>
        <w:rPr>
          <w:sz w:val="20"/>
        </w:rPr>
        <w:t xml:space="preserve">о) дату размещения результатов конкурсного отбора на едином портале и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Размещение объявления о проведении конкурсного отбора осуществляет секретарь комиссии.</w:t>
      </w:r>
    </w:p>
    <w:p>
      <w:pPr>
        <w:pStyle w:val="0"/>
        <w:spacing w:before="200" w:line-rule="auto"/>
        <w:ind w:firstLine="540"/>
        <w:jc w:val="both"/>
      </w:pPr>
      <w:r>
        <w:rPr>
          <w:sz w:val="20"/>
        </w:rPr>
        <w:t xml:space="preserve">Поступающие заявки регистрируются в соответствующем журнале в день поступления в комитет.</w:t>
      </w:r>
    </w:p>
    <w:bookmarkStart w:id="2432" w:name="P2432"/>
    <w:bookmarkEnd w:id="2432"/>
    <w:p>
      <w:pPr>
        <w:pStyle w:val="0"/>
        <w:spacing w:before="200" w:line-rule="auto"/>
        <w:ind w:firstLine="540"/>
        <w:jc w:val="both"/>
      </w:pPr>
      <w:r>
        <w:rPr>
          <w:sz w:val="20"/>
        </w:rPr>
        <w:t xml:space="preserve">2.5. Для участия в конкурсном отборе участник представляет в комитет заявку, включающую следующие документы:</w:t>
      </w:r>
    </w:p>
    <w:p>
      <w:pPr>
        <w:pStyle w:val="0"/>
        <w:spacing w:before="200" w:line-rule="auto"/>
        <w:ind w:firstLine="540"/>
        <w:jc w:val="both"/>
      </w:pPr>
      <w:r>
        <w:rPr>
          <w:sz w:val="20"/>
        </w:rPr>
        <w:t xml:space="preserve">а) заявление на предоставление субсидии по форме, утвержденной правовым актом комитета;</w:t>
      </w:r>
    </w:p>
    <w:p>
      <w:pPr>
        <w:pStyle w:val="0"/>
        <w:spacing w:before="200" w:line-rule="auto"/>
        <w:ind w:firstLine="540"/>
        <w:jc w:val="both"/>
      </w:pPr>
      <w:r>
        <w:rPr>
          <w:sz w:val="20"/>
        </w:rPr>
        <w:t xml:space="preserve">б) справку, заверенную подписями руководителя (лица, действующего без доверенности), главного бухгалтера и печатью (при наличии), о соответствии участника конкурсного отбора требованиям, указанным в </w:t>
      </w:r>
      <w:hyperlink w:history="0" w:anchor="P2394" w:tooltip="2) соответствие участника конкурсного отбора по состоянию на дату подачи заявки следующим требованиям:">
        <w:r>
          <w:rPr>
            <w:sz w:val="20"/>
            <w:color w:val="0000ff"/>
          </w:rPr>
          <w:t xml:space="preserve">подпункте 2 пункта 2.1</w:t>
        </w:r>
      </w:hyperlink>
      <w:r>
        <w:rPr>
          <w:sz w:val="20"/>
        </w:rPr>
        <w:t xml:space="preserve"> настоящего Порядка;</w:t>
      </w:r>
    </w:p>
    <w:p>
      <w:pPr>
        <w:pStyle w:val="0"/>
        <w:spacing w:before="200" w:line-rule="auto"/>
        <w:ind w:firstLine="540"/>
        <w:jc w:val="both"/>
      </w:pPr>
      <w:r>
        <w:rPr>
          <w:sz w:val="20"/>
        </w:rPr>
        <w:t xml:space="preserve">в) копию документа, подтверждающего полномочия руководителя, заверенную подписью руководителя и печатью (при наличии);</w:t>
      </w:r>
    </w:p>
    <w:p>
      <w:pPr>
        <w:pStyle w:val="0"/>
        <w:spacing w:before="200" w:line-rule="auto"/>
        <w:ind w:firstLine="540"/>
        <w:jc w:val="both"/>
      </w:pPr>
      <w:r>
        <w:rPr>
          <w:sz w:val="20"/>
        </w:rPr>
        <w:t xml:space="preserve">г) презентацию проекта с кратким описанием, включая информацию о целях, задачах, расчетах, ожидаемом результате реализации проекта (в объеме не более 10 слайдов);</w:t>
      </w:r>
    </w:p>
    <w:p>
      <w:pPr>
        <w:pStyle w:val="0"/>
        <w:spacing w:before="200" w:line-rule="auto"/>
        <w:ind w:firstLine="540"/>
        <w:jc w:val="both"/>
      </w:pPr>
      <w:r>
        <w:rPr>
          <w:sz w:val="20"/>
        </w:rPr>
        <w:t xml:space="preserve">д) сметный расчет с обоснованием стоимости затрат на реализацию проекта, указанных в </w:t>
      </w:r>
      <w:hyperlink w:history="0" w:anchor="P2409" w:tooltip="2.2. Субсидии предоставляются на финансовое обеспечение затрат, связанных с реализацией проекта или отдельных мероприятий проекта, по следующим направлениям расходов: оплата труда работников, включая налог на доходы физических лиц, страховые взносы (начисления на оплату труда) в государственные внебюджетные фонды работников; оплата товаров; оплата работ; оплата услуг (услуги связи, транспортные услуги, арендная плата за пользование имуществом); на приобретение нефинансовых активов, в том числе на приобре...">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е) письмо о возможности рассмотрения проекта от администрации муниципального образования Ленинградской области (муниципального района, городского округа), и(или) Комитета по природным ресурсам Ленинградской области, и(или) Ленинградского областного государственного казенного учреждения "Дирекция особо охраняемых природных территорий Ленинградской области" для </w:t>
      </w:r>
      <w:hyperlink w:history="0" w:anchor="P2383" w:tooltip="б) разработка новых туристских маршрутов (включая маркировку, навигацию, обеспечение безопасности, организацию выделенных зон отдыха);">
        <w:r>
          <w:rPr>
            <w:sz w:val="20"/>
            <w:color w:val="0000ff"/>
          </w:rPr>
          <w:t xml:space="preserve">подпункта "б" пункта 1.3</w:t>
        </w:r>
      </w:hyperlink>
      <w:r>
        <w:rPr>
          <w:sz w:val="20"/>
        </w:rPr>
        <w:t xml:space="preserve"> настоящего Порядка (при наличии);</w:t>
      </w:r>
    </w:p>
    <w:p>
      <w:pPr>
        <w:pStyle w:val="0"/>
        <w:spacing w:before="200" w:line-rule="auto"/>
        <w:ind w:firstLine="540"/>
        <w:jc w:val="both"/>
      </w:pPr>
      <w:r>
        <w:rPr>
          <w:sz w:val="20"/>
        </w:rPr>
        <w:t xml:space="preserve">ж) утратил силу. - </w:t>
      </w:r>
      <w:hyperlink w:history="0" r:id="rId142" w:tooltip="Постановление Правительства Ленинградской области от 24.08.2023 N 58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24.08.2023 N 585;</w:t>
      </w:r>
    </w:p>
    <w:p>
      <w:pPr>
        <w:pStyle w:val="0"/>
        <w:spacing w:before="200" w:line-rule="auto"/>
        <w:ind w:firstLine="540"/>
        <w:jc w:val="both"/>
      </w:pPr>
      <w:r>
        <w:rPr>
          <w:sz w:val="20"/>
        </w:rPr>
        <w:t xml:space="preserve">з) письмо поддержки проекта от администрации муниципального образования Ленинградской области (муниципального района, городского округа) для </w:t>
      </w:r>
      <w:hyperlink w:history="0" w:anchor="P2384" w:tooltip="в)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
        <w:r>
          <w:rPr>
            <w:sz w:val="20"/>
            <w:color w:val="0000ff"/>
          </w:rPr>
          <w:t xml:space="preserve">подпункта "в" пункта 1.3</w:t>
        </w:r>
      </w:hyperlink>
      <w:r>
        <w:rPr>
          <w:sz w:val="20"/>
        </w:rPr>
        <w:t xml:space="preserve"> настоящего Порядка (при наличии).</w:t>
      </w:r>
    </w:p>
    <w:p>
      <w:pPr>
        <w:pStyle w:val="0"/>
        <w:spacing w:before="200" w:line-rule="auto"/>
        <w:ind w:firstLine="540"/>
        <w:jc w:val="both"/>
      </w:pPr>
      <w:r>
        <w:rPr>
          <w:sz w:val="20"/>
        </w:rPr>
        <w:t xml:space="preserve">2.5.1. Комитет запрашивает:</w:t>
      </w:r>
    </w:p>
    <w:p>
      <w:pPr>
        <w:pStyle w:val="0"/>
        <w:spacing w:before="200" w:line-rule="auto"/>
        <w:ind w:firstLine="540"/>
        <w:jc w:val="both"/>
      </w:pPr>
      <w:r>
        <w:rPr>
          <w:sz w:val="20"/>
        </w:rPr>
        <w:t xml:space="preserve">а) в порядке информационного взаимодействия с другими органами государственной власти и организациями:</w:t>
      </w:r>
    </w:p>
    <w:p>
      <w:pPr>
        <w:pStyle w:val="0"/>
        <w:spacing w:before="200" w:line-rule="auto"/>
        <w:ind w:firstLine="540"/>
        <w:jc w:val="both"/>
      </w:pPr>
      <w:r>
        <w:rPr>
          <w:sz w:val="20"/>
        </w:rPr>
        <w:t xml:space="preserve">подтверждение отсутствия участника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spacing w:before="200" w:line-rule="auto"/>
        <w:ind w:firstLine="540"/>
        <w:jc w:val="both"/>
      </w:pPr>
      <w:r>
        <w:rPr>
          <w:sz w:val="20"/>
        </w:rPr>
        <w:t xml:space="preserve">б) через портал системы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w:t>
      </w:r>
    </w:p>
    <w:p>
      <w:pPr>
        <w:pStyle w:val="0"/>
        <w:spacing w:before="200" w:line-rule="auto"/>
        <w:ind w:firstLine="540"/>
        <w:jc w:val="both"/>
      </w:pPr>
      <w:r>
        <w:rPr>
          <w:sz w:val="20"/>
        </w:rPr>
        <w:t xml:space="preserve">выписку из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абзац утратил силу. - </w:t>
      </w:r>
      <w:hyperlink w:history="0" r:id="rId143" w:tooltip="Постановление Правительства Ленинградской области от 24.08.2023 N 585 &quot;О внесении изменений в постановление Правительства Ленинградской области от 30 сентября 2019 года N 442 &quot;О государственной программе Ленинградской области &quot;Развитие внутреннего и въездного туризма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24.08.2023 N 585;</w:t>
      </w:r>
    </w:p>
    <w:p>
      <w:pPr>
        <w:pStyle w:val="0"/>
        <w:spacing w:before="200" w:line-rule="auto"/>
        <w:ind w:firstLine="540"/>
        <w:jc w:val="both"/>
      </w:pPr>
      <w:r>
        <w:rPr>
          <w:sz w:val="20"/>
        </w:rPr>
        <w:t xml:space="preserve">справку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pPr>
        <w:pStyle w:val="0"/>
        <w:spacing w:before="200" w:line-rule="auto"/>
        <w:ind w:firstLine="540"/>
        <w:jc w:val="both"/>
      </w:pPr>
      <w:r>
        <w:rPr>
          <w:sz w:val="20"/>
        </w:rPr>
        <w:t xml:space="preserve">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pPr>
        <w:pStyle w:val="0"/>
        <w:spacing w:before="200" w:line-rule="auto"/>
        <w:ind w:firstLine="540"/>
        <w:jc w:val="both"/>
      </w:pPr>
      <w:r>
        <w:rPr>
          <w:sz w:val="20"/>
        </w:rPr>
        <w:t xml:space="preserve">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2.6. Участник конкурсного отбора подает не более одной заявки для получения субсидии.</w:t>
      </w:r>
    </w:p>
    <w:p>
      <w:pPr>
        <w:pStyle w:val="0"/>
        <w:spacing w:before="200" w:line-rule="auto"/>
        <w:ind w:firstLine="540"/>
        <w:jc w:val="both"/>
      </w:pPr>
      <w:r>
        <w:rPr>
          <w:sz w:val="20"/>
        </w:rPr>
        <w:t xml:space="preserve">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pPr>
        <w:pStyle w:val="0"/>
        <w:spacing w:before="200" w:line-rule="auto"/>
        <w:ind w:firstLine="540"/>
        <w:jc w:val="both"/>
      </w:pPr>
      <w:r>
        <w:rPr>
          <w:sz w:val="20"/>
        </w:rPr>
        <w:t xml:space="preserve">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pPr>
        <w:pStyle w:val="0"/>
        <w:spacing w:before="200" w:line-rule="auto"/>
        <w:ind w:firstLine="540"/>
        <w:jc w:val="both"/>
      </w:pPr>
      <w:r>
        <w:rPr>
          <w:sz w:val="20"/>
        </w:rPr>
        <w:t xml:space="preserve">Внесение изменений в заявку осуществляется путем отзыва на основании письменного уведомления и подачи новой заявки не позднее даты окончания приема заявок.</w:t>
      </w:r>
    </w:p>
    <w:p>
      <w:pPr>
        <w:pStyle w:val="0"/>
        <w:spacing w:before="200" w:line-rule="auto"/>
        <w:ind w:firstLine="540"/>
        <w:jc w:val="both"/>
      </w:pPr>
      <w:r>
        <w:rPr>
          <w:sz w:val="20"/>
        </w:rPr>
        <w:t xml:space="preserve">В случае поступления запроса от участника конкурсного отбора о разъяснении положений объявления о проведении конкурсного отбора комитет направляет ответ на запрос о разъяснении положений объявления о проведении конкурсного отбора в течение трех рабочих дней со дня поступления запроса.</w:t>
      </w:r>
    </w:p>
    <w:p>
      <w:pPr>
        <w:pStyle w:val="0"/>
        <w:spacing w:before="200" w:line-rule="auto"/>
        <w:ind w:firstLine="540"/>
        <w:jc w:val="both"/>
      </w:pPr>
      <w:r>
        <w:rPr>
          <w:sz w:val="20"/>
        </w:rPr>
        <w:t xml:space="preserve">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pPr>
        <w:pStyle w:val="0"/>
        <w:spacing w:before="200" w:line-rule="auto"/>
        <w:ind w:firstLine="540"/>
        <w:jc w:val="both"/>
      </w:pPr>
      <w:r>
        <w:rPr>
          <w:sz w:val="20"/>
        </w:rP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history="0" w:anchor="P2572" w:tooltip="2.13. Основаниями для отклонения заявки участника конкурсного отбора на стадии рассмотрения и оценки заявок являются:">
        <w:r>
          <w:rPr>
            <w:sz w:val="20"/>
            <w:color w:val="0000ff"/>
          </w:rPr>
          <w:t xml:space="preserve">пунктами 2.13</w:t>
        </w:r>
      </w:hyperlink>
      <w:r>
        <w:rPr>
          <w:sz w:val="20"/>
        </w:rPr>
        <w:t xml:space="preserve"> и </w:t>
      </w:r>
      <w:hyperlink w:history="0" w:anchor="P2577" w:tooltip="2.14. Основаниями для отказа получателю субсидии в предоставлении субсидии являются:">
        <w:r>
          <w:rPr>
            <w:sz w:val="20"/>
            <w:color w:val="0000ff"/>
          </w:rPr>
          <w:t xml:space="preserve">2.14</w:t>
        </w:r>
      </w:hyperlink>
      <w:r>
        <w:rPr>
          <w:sz w:val="20"/>
        </w:rPr>
        <w:t xml:space="preserve"> настоящего Порядка, определяет победителя конкурсного отбора в соответствии с </w:t>
      </w:r>
      <w:hyperlink w:history="0" w:anchor="P2458" w:tooltip="2.10. Представленные на конкурсный отбор заявки по направлению, указанному в подпункте &quot;а&quot; пункта 1.3 настоящего Порядка, оцениваются комиссией по балльной системе в соответствии со следующими критериями:">
        <w:r>
          <w:rPr>
            <w:sz w:val="20"/>
            <w:color w:val="0000ff"/>
          </w:rPr>
          <w:t xml:space="preserve">пунктами 2.10</w:t>
        </w:r>
      </w:hyperlink>
      <w:r>
        <w:rPr>
          <w:sz w:val="20"/>
        </w:rPr>
        <w:t xml:space="preserve"> - </w:t>
      </w:r>
      <w:hyperlink w:history="0" w:anchor="P2538" w:tooltip="2.12. Представленные на конкурсный отбор заявки по направлению, указанному в подпункте &quot;в&quot; пункта 1.3 настоящего Порядка, оцениваются комиссией по балльной системе в соответствии со следующими критериями:">
        <w:r>
          <w:rPr>
            <w:sz w:val="20"/>
            <w:color w:val="0000ff"/>
          </w:rPr>
          <w:t xml:space="preserve">2.12</w:t>
        </w:r>
      </w:hyperlink>
      <w:r>
        <w:rPr>
          <w:sz w:val="20"/>
        </w:rPr>
        <w:t xml:space="preserve"> настоящего Порядка.</w:t>
      </w:r>
    </w:p>
    <w:bookmarkStart w:id="2458" w:name="P2458"/>
    <w:bookmarkEnd w:id="2458"/>
    <w:p>
      <w:pPr>
        <w:pStyle w:val="0"/>
        <w:spacing w:before="200" w:line-rule="auto"/>
        <w:ind w:firstLine="540"/>
        <w:jc w:val="both"/>
      </w:pPr>
      <w:r>
        <w:rPr>
          <w:sz w:val="20"/>
        </w:rPr>
        <w:t xml:space="preserve">2.10. Представленные на конкурсный отбор заявки по направлению, указанному в </w:t>
      </w:r>
      <w:hyperlink w:history="0" w:anchor="P2382" w:tooltip="а) приобретение туристского оборудования (оборудование, снаряжение, инвентарь, немоторные средства передвижения, экипировка, товары для отдыха, предназначенные для обеспечения туристской деятельности),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
        <w:r>
          <w:rPr>
            <w:sz w:val="20"/>
            <w:color w:val="0000ff"/>
          </w:rPr>
          <w:t xml:space="preserve">подпункте "а" пункта 1.3</w:t>
        </w:r>
      </w:hyperlink>
      <w:r>
        <w:rPr>
          <w:sz w:val="20"/>
        </w:rPr>
        <w:t xml:space="preserve"> настоящего Порядка, оцениваются комиссией по балльной системе в соответствии со следующими критериями: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15"/>
        <w:gridCol w:w="5046"/>
      </w:tblGrid>
      <w:tr>
        <w:tc>
          <w:tcPr>
            <w:tcW w:w="510" w:type="dxa"/>
          </w:tcPr>
          <w:p>
            <w:pPr>
              <w:pStyle w:val="0"/>
              <w:jc w:val="center"/>
            </w:pPr>
            <w:r>
              <w:rPr>
                <w:sz w:val="20"/>
              </w:rPr>
              <w:t xml:space="preserve">N п/п</w:t>
            </w:r>
          </w:p>
        </w:tc>
        <w:tc>
          <w:tcPr>
            <w:tcW w:w="3515" w:type="dxa"/>
          </w:tcPr>
          <w:p>
            <w:pPr>
              <w:pStyle w:val="0"/>
              <w:jc w:val="center"/>
            </w:pPr>
            <w:r>
              <w:rPr>
                <w:sz w:val="20"/>
              </w:rPr>
              <w:t xml:space="preserve">Наименование критерия</w:t>
            </w:r>
          </w:p>
        </w:tc>
        <w:tc>
          <w:tcPr>
            <w:tcW w:w="5046" w:type="dxa"/>
          </w:tcPr>
          <w:p>
            <w:pPr>
              <w:pStyle w:val="0"/>
              <w:jc w:val="center"/>
            </w:pPr>
            <w:r>
              <w:rPr>
                <w:sz w:val="20"/>
              </w:rPr>
              <w:t xml:space="preserve">Количество баллов</w:t>
            </w:r>
          </w:p>
        </w:tc>
      </w:tr>
      <w:tr>
        <w:tc>
          <w:tcPr>
            <w:tcW w:w="510" w:type="dxa"/>
          </w:tcPr>
          <w:p>
            <w:pPr>
              <w:pStyle w:val="0"/>
              <w:jc w:val="center"/>
            </w:pPr>
            <w:r>
              <w:rPr>
                <w:sz w:val="20"/>
              </w:rPr>
              <w:t xml:space="preserve">1</w:t>
            </w:r>
          </w:p>
        </w:tc>
        <w:tc>
          <w:tcPr>
            <w:tcW w:w="3515" w:type="dxa"/>
          </w:tcPr>
          <w:p>
            <w:pPr>
              <w:pStyle w:val="0"/>
              <w:jc w:val="center"/>
            </w:pPr>
            <w:r>
              <w:rPr>
                <w:sz w:val="20"/>
              </w:rPr>
              <w:t xml:space="preserve">2</w:t>
            </w:r>
          </w:p>
        </w:tc>
        <w:tc>
          <w:tcPr>
            <w:tcW w:w="5046" w:type="dxa"/>
          </w:tcPr>
          <w:p>
            <w:pPr>
              <w:pStyle w:val="0"/>
              <w:jc w:val="center"/>
            </w:pPr>
            <w:r>
              <w:rPr>
                <w:sz w:val="20"/>
              </w:rPr>
              <w:t xml:space="preserve">3</w:t>
            </w:r>
          </w:p>
        </w:tc>
      </w:tr>
      <w:tr>
        <w:tc>
          <w:tcPr>
            <w:tcW w:w="510" w:type="dxa"/>
            <w:vMerge w:val="restart"/>
          </w:tcPr>
          <w:p>
            <w:pPr>
              <w:pStyle w:val="0"/>
              <w:jc w:val="center"/>
            </w:pPr>
            <w:r>
              <w:rPr>
                <w:sz w:val="20"/>
              </w:rPr>
              <w:t xml:space="preserve">1</w:t>
            </w:r>
          </w:p>
        </w:tc>
        <w:tc>
          <w:tcPr>
            <w:tcW w:w="3515" w:type="dxa"/>
            <w:vMerge w:val="restart"/>
          </w:tcPr>
          <w:p>
            <w:pPr>
              <w:pStyle w:val="0"/>
            </w:pPr>
            <w:r>
              <w:rPr>
                <w:sz w:val="20"/>
              </w:rPr>
              <w:t xml:space="preserve">Актуальность проекта (ориентированность проекта на развитие инфраструктуры туризма на территории Ленинградской области), его соответствие выбранному направлению в соответствии с </w:t>
            </w:r>
            <w:hyperlink w:history="0" w:anchor="P2381" w:tooltip="1.3. Субсидии предоставляются на финансовое обеспечение государственной поддержки проектов, направленных на развитие инфраструктуры туризма на территории Ленинградской области, по следующим направлениям:">
              <w:r>
                <w:rPr>
                  <w:sz w:val="20"/>
                  <w:color w:val="0000ff"/>
                </w:rPr>
                <w:t xml:space="preserve">пунктом 1.3</w:t>
              </w:r>
            </w:hyperlink>
            <w:r>
              <w:rPr>
                <w:sz w:val="20"/>
              </w:rPr>
              <w:t xml:space="preserve"> настоящего Порядка</w:t>
            </w:r>
          </w:p>
        </w:tc>
        <w:tc>
          <w:tcPr>
            <w:tcW w:w="5046" w:type="dxa"/>
          </w:tcPr>
          <w:p>
            <w:pPr>
              <w:pStyle w:val="0"/>
            </w:pPr>
            <w:r>
              <w:rPr>
                <w:sz w:val="20"/>
              </w:rPr>
              <w:t xml:space="preserve">Проект актуален, соответствует выбранному направлению в полной мере - 35 баллов</w:t>
            </w:r>
          </w:p>
        </w:tc>
      </w:tr>
      <w:tr>
        <w:tc>
          <w:tcPr>
            <w:vMerge w:val="continue"/>
          </w:tcPr>
          <w:p/>
        </w:tc>
        <w:tc>
          <w:tcPr>
            <w:vMerge w:val="continue"/>
          </w:tcPr>
          <w:p/>
        </w:tc>
        <w:tc>
          <w:tcPr>
            <w:tcW w:w="5046" w:type="dxa"/>
          </w:tcPr>
          <w:p>
            <w:pPr>
              <w:pStyle w:val="0"/>
              <w:jc w:val="both"/>
            </w:pPr>
            <w:r>
              <w:rPr>
                <w:sz w:val="20"/>
              </w:rPr>
              <w:t xml:space="preserve">Проект актуален, частично соответствует выбранному направлению - 20 баллов</w:t>
            </w:r>
          </w:p>
        </w:tc>
      </w:tr>
      <w:tr>
        <w:tc>
          <w:tcPr>
            <w:vMerge w:val="continue"/>
          </w:tcPr>
          <w:p/>
        </w:tc>
        <w:tc>
          <w:tcPr>
            <w:vMerge w:val="continue"/>
          </w:tcPr>
          <w:p/>
        </w:tc>
        <w:tc>
          <w:tcPr>
            <w:tcW w:w="5046" w:type="dxa"/>
          </w:tcPr>
          <w:p>
            <w:pPr>
              <w:pStyle w:val="0"/>
              <w:jc w:val="both"/>
            </w:pPr>
            <w:r>
              <w:rPr>
                <w:sz w:val="20"/>
              </w:rPr>
              <w:t xml:space="preserve">Проект не актуален - 0 баллов</w:t>
            </w:r>
          </w:p>
        </w:tc>
      </w:tr>
      <w:tr>
        <w:tc>
          <w:tcPr>
            <w:tcW w:w="510" w:type="dxa"/>
            <w:vMerge w:val="restart"/>
          </w:tcPr>
          <w:p>
            <w:pPr>
              <w:pStyle w:val="0"/>
              <w:jc w:val="center"/>
            </w:pPr>
            <w:r>
              <w:rPr>
                <w:sz w:val="20"/>
              </w:rPr>
              <w:t xml:space="preserve">2</w:t>
            </w:r>
          </w:p>
        </w:tc>
        <w:tc>
          <w:tcPr>
            <w:tcW w:w="3515" w:type="dxa"/>
            <w:vMerge w:val="restart"/>
          </w:tcPr>
          <w:p>
            <w:pPr>
              <w:pStyle w:val="0"/>
            </w:pPr>
            <w:r>
              <w:rPr>
                <w:sz w:val="20"/>
              </w:rPr>
              <w:t xml:space="preserve">Уровень софинансирования проекта в процентах</w:t>
            </w:r>
          </w:p>
        </w:tc>
        <w:tc>
          <w:tcPr>
            <w:tcW w:w="5046" w:type="dxa"/>
          </w:tcPr>
          <w:p>
            <w:pPr>
              <w:pStyle w:val="0"/>
            </w:pPr>
            <w:r>
              <w:rPr>
                <w:sz w:val="20"/>
              </w:rPr>
              <w:t xml:space="preserve">от 51% и выше - 35 баллов</w:t>
            </w:r>
          </w:p>
        </w:tc>
      </w:tr>
      <w:tr>
        <w:tc>
          <w:tcPr>
            <w:vMerge w:val="continue"/>
          </w:tcPr>
          <w:p/>
        </w:tc>
        <w:tc>
          <w:tcPr>
            <w:vMerge w:val="continue"/>
          </w:tcPr>
          <w:p/>
        </w:tc>
        <w:tc>
          <w:tcPr>
            <w:tcW w:w="5046" w:type="dxa"/>
          </w:tcPr>
          <w:p>
            <w:pPr>
              <w:pStyle w:val="0"/>
              <w:jc w:val="both"/>
            </w:pPr>
            <w:r>
              <w:rPr>
                <w:sz w:val="20"/>
              </w:rPr>
              <w:t xml:space="preserve">от 41% до 50% - 15 баллов</w:t>
            </w:r>
          </w:p>
        </w:tc>
      </w:tr>
      <w:tr>
        <w:tc>
          <w:tcPr>
            <w:vMerge w:val="continue"/>
          </w:tcPr>
          <w:p/>
        </w:tc>
        <w:tc>
          <w:tcPr>
            <w:vMerge w:val="continue"/>
          </w:tcPr>
          <w:p/>
        </w:tc>
        <w:tc>
          <w:tcPr>
            <w:tcW w:w="5046" w:type="dxa"/>
          </w:tcPr>
          <w:p>
            <w:pPr>
              <w:pStyle w:val="0"/>
              <w:jc w:val="both"/>
            </w:pPr>
            <w:r>
              <w:rPr>
                <w:sz w:val="20"/>
              </w:rPr>
              <w:t xml:space="preserve">от 31% до 40% - 5 баллов</w:t>
            </w:r>
          </w:p>
        </w:tc>
      </w:tr>
      <w:tr>
        <w:tc>
          <w:tcPr>
            <w:vMerge w:val="continue"/>
          </w:tcPr>
          <w:p/>
        </w:tc>
        <w:tc>
          <w:tcPr>
            <w:vMerge w:val="continue"/>
          </w:tcPr>
          <w:p/>
        </w:tc>
        <w:tc>
          <w:tcPr>
            <w:tcW w:w="5046" w:type="dxa"/>
          </w:tcPr>
          <w:p>
            <w:pPr>
              <w:pStyle w:val="0"/>
              <w:jc w:val="both"/>
            </w:pPr>
            <w:r>
              <w:rPr>
                <w:sz w:val="20"/>
              </w:rPr>
              <w:t xml:space="preserve">от 0% до 30% - 0 баллов</w:t>
            </w:r>
          </w:p>
        </w:tc>
      </w:tr>
      <w:tr>
        <w:tc>
          <w:tcPr>
            <w:tcW w:w="510" w:type="dxa"/>
            <w:vMerge w:val="restart"/>
          </w:tcPr>
          <w:p>
            <w:pPr>
              <w:pStyle w:val="0"/>
              <w:jc w:val="center"/>
            </w:pPr>
            <w:r>
              <w:rPr>
                <w:sz w:val="20"/>
              </w:rPr>
              <w:t xml:space="preserve">3</w:t>
            </w:r>
          </w:p>
        </w:tc>
        <w:tc>
          <w:tcPr>
            <w:tcW w:w="3515" w:type="dxa"/>
            <w:vMerge w:val="restart"/>
          </w:tcPr>
          <w:p>
            <w:pPr>
              <w:pStyle w:val="0"/>
            </w:pPr>
            <w:r>
              <w:rPr>
                <w:sz w:val="20"/>
              </w:rPr>
              <w:t xml:space="preserve">Взаимосвязь проекта с туристскими объектами, туристскими маршрутами Ленинградской области</w:t>
            </w:r>
          </w:p>
        </w:tc>
        <w:tc>
          <w:tcPr>
            <w:tcW w:w="5046" w:type="dxa"/>
          </w:tcPr>
          <w:p>
            <w:pPr>
              <w:pStyle w:val="0"/>
            </w:pPr>
            <w:r>
              <w:rPr>
                <w:sz w:val="20"/>
              </w:rPr>
              <w:t xml:space="preserve">Проект взаимосвязан с туристскими объектами, туристскими маршрутами Ленинградской области - 7 баллов</w:t>
            </w:r>
          </w:p>
        </w:tc>
      </w:tr>
      <w:tr>
        <w:tc>
          <w:tcPr>
            <w:vMerge w:val="continue"/>
          </w:tcPr>
          <w:p/>
        </w:tc>
        <w:tc>
          <w:tcPr>
            <w:vMerge w:val="continue"/>
          </w:tcPr>
          <w:p/>
        </w:tc>
        <w:tc>
          <w:tcPr>
            <w:tcW w:w="5046" w:type="dxa"/>
          </w:tcPr>
          <w:p>
            <w:pPr>
              <w:pStyle w:val="0"/>
            </w:pPr>
            <w:r>
              <w:rPr>
                <w:sz w:val="20"/>
              </w:rPr>
              <w:t xml:space="preserve">Проект не взаимосвязан с туристскими объектами, туристскими маршрутами Ленинградской области - 0 баллов</w:t>
            </w:r>
          </w:p>
        </w:tc>
      </w:tr>
      <w:tr>
        <w:tc>
          <w:tcPr>
            <w:tcW w:w="510" w:type="dxa"/>
            <w:vMerge w:val="restart"/>
          </w:tcPr>
          <w:p>
            <w:pPr>
              <w:pStyle w:val="0"/>
              <w:jc w:val="center"/>
            </w:pPr>
            <w:r>
              <w:rPr>
                <w:sz w:val="20"/>
              </w:rPr>
              <w:t xml:space="preserve">4</w:t>
            </w:r>
          </w:p>
        </w:tc>
        <w:tc>
          <w:tcPr>
            <w:tcW w:w="3515" w:type="dxa"/>
            <w:vMerge w:val="restart"/>
          </w:tcPr>
          <w:p>
            <w:pPr>
              <w:pStyle w:val="0"/>
            </w:pPr>
            <w:r>
              <w:rPr>
                <w:sz w:val="20"/>
              </w:rPr>
              <w:t xml:space="preserve">Логическая взаимосвязь и реализуемость проекта</w:t>
            </w:r>
          </w:p>
        </w:tc>
        <w:tc>
          <w:tcPr>
            <w:tcW w:w="5046" w:type="dxa"/>
          </w:tcPr>
          <w:p>
            <w:pPr>
              <w:pStyle w:val="0"/>
            </w:pPr>
            <w:r>
              <w:rPr>
                <w:sz w:val="20"/>
              </w:rPr>
              <w:t xml:space="preserve">Цели и задачи соответствуют содержанию проекта, календарный план структурирован и детализирован - 5 баллов</w:t>
            </w:r>
          </w:p>
        </w:tc>
      </w:tr>
      <w:tr>
        <w:tc>
          <w:tcPr>
            <w:vMerge w:val="continue"/>
          </w:tcPr>
          <w:p/>
        </w:tc>
        <w:tc>
          <w:tcPr>
            <w:vMerge w:val="continue"/>
          </w:tcPr>
          <w:p/>
        </w:tc>
        <w:tc>
          <w:tcPr>
            <w:tcW w:w="5046" w:type="dxa"/>
          </w:tcPr>
          <w:p>
            <w:pPr>
              <w:pStyle w:val="0"/>
            </w:pPr>
            <w:r>
              <w:rPr>
                <w:sz w:val="20"/>
              </w:rPr>
              <w:t xml:space="preserve">Цели и задачи соответствуют содержанию проекта, но есть замечания по их составу, сроки выполнения отдельных мероприятий требуют корректировки - 3 балла</w:t>
            </w:r>
          </w:p>
        </w:tc>
      </w:tr>
      <w:tr>
        <w:tc>
          <w:tcPr>
            <w:vMerge w:val="continue"/>
          </w:tcPr>
          <w:p/>
        </w:tc>
        <w:tc>
          <w:tcPr>
            <w:vMerge w:val="continue"/>
          </w:tcPr>
          <w:p/>
        </w:tc>
        <w:tc>
          <w:tcPr>
            <w:tcW w:w="5046" w:type="dxa"/>
          </w:tcPr>
          <w:p>
            <w:pPr>
              <w:pStyle w:val="0"/>
            </w:pPr>
            <w:r>
              <w:rPr>
                <w:sz w:val="20"/>
              </w:rPr>
              <w:t xml:space="preserve">Проект имеет противоречия между планируемой деятельностью и ожидаемыми результатами, отсутствует детализация календарного плана, имеются ошибки в постановке целей, задач и описании мероприятий - 0 баллов</w:t>
            </w:r>
          </w:p>
        </w:tc>
      </w:tr>
      <w:tr>
        <w:tc>
          <w:tcPr>
            <w:tcW w:w="510" w:type="dxa"/>
            <w:vMerge w:val="restart"/>
          </w:tcPr>
          <w:p>
            <w:pPr>
              <w:pStyle w:val="0"/>
              <w:jc w:val="center"/>
            </w:pPr>
            <w:r>
              <w:rPr>
                <w:sz w:val="20"/>
              </w:rPr>
              <w:t xml:space="preserve">5</w:t>
            </w:r>
          </w:p>
        </w:tc>
        <w:tc>
          <w:tcPr>
            <w:tcW w:w="3515" w:type="dxa"/>
            <w:vMerge w:val="restart"/>
          </w:tcPr>
          <w:p>
            <w:pPr>
              <w:pStyle w:val="0"/>
            </w:pPr>
            <w:r>
              <w:rPr>
                <w:sz w:val="20"/>
              </w:rPr>
              <w:t xml:space="preserve">Обоснованность бюджета</w:t>
            </w:r>
          </w:p>
        </w:tc>
        <w:tc>
          <w:tcPr>
            <w:tcW w:w="5046" w:type="dxa"/>
          </w:tcPr>
          <w:p>
            <w:pPr>
              <w:pStyle w:val="0"/>
            </w:pPr>
            <w:r>
              <w:rPr>
                <w:sz w:val="20"/>
              </w:rPr>
              <w:t xml:space="preserve">В бюджете отсутствуют расходы, непосредственно не связанные с реализацией проекта, представлена детализация всех предполагаемых расходов - 7 баллов</w:t>
            </w:r>
          </w:p>
        </w:tc>
      </w:tr>
      <w:tr>
        <w:tc>
          <w:tcPr>
            <w:vMerge w:val="continue"/>
          </w:tcPr>
          <w:p/>
        </w:tc>
        <w:tc>
          <w:tcPr>
            <w:vMerge w:val="continue"/>
          </w:tcPr>
          <w:p/>
        </w:tc>
        <w:tc>
          <w:tcPr>
            <w:tcW w:w="5046" w:type="dxa"/>
          </w:tcPr>
          <w:p>
            <w:pPr>
              <w:pStyle w:val="0"/>
            </w:pPr>
            <w:r>
              <w:rPr>
                <w:sz w:val="20"/>
              </w:rPr>
              <w:t xml:space="preserve">Не все предполагаемые расходы следуют из мероприятий и обоснованы, в бюджете предусмотрены не имеющие прямого отношения к реализации проекта расходы - 3 балла</w:t>
            </w:r>
          </w:p>
        </w:tc>
      </w:tr>
      <w:tr>
        <w:tc>
          <w:tcPr>
            <w:vMerge w:val="continue"/>
          </w:tcPr>
          <w:p/>
        </w:tc>
        <w:tc>
          <w:tcPr>
            <w:vMerge w:val="continue"/>
          </w:tcPr>
          <w:p/>
        </w:tc>
        <w:tc>
          <w:tcPr>
            <w:tcW w:w="5046" w:type="dxa"/>
          </w:tcPr>
          <w:p>
            <w:pPr>
              <w:pStyle w:val="0"/>
            </w:pPr>
            <w:r>
              <w:rPr>
                <w:sz w:val="20"/>
              </w:rPr>
              <w:t xml:space="preserve">Предполагаемые расходы не соответствуют мероприятиям проекта и/или условиям конкурса - 0 баллов</w:t>
            </w:r>
          </w:p>
        </w:tc>
      </w:tr>
    </w:tbl>
    <w:p>
      <w:pPr>
        <w:pStyle w:val="0"/>
        <w:ind w:firstLine="540"/>
        <w:jc w:val="both"/>
      </w:pPr>
      <w:r>
        <w:rPr>
          <w:sz w:val="20"/>
        </w:rPr>
      </w:r>
    </w:p>
    <w:p>
      <w:pPr>
        <w:pStyle w:val="0"/>
        <w:ind w:firstLine="540"/>
        <w:jc w:val="both"/>
      </w:pPr>
      <w:r>
        <w:rPr>
          <w:sz w:val="20"/>
        </w:rPr>
        <w:t xml:space="preserve">2.11. Представленные на конкурсный отбор заявки по направлению, указанному в </w:t>
      </w:r>
      <w:hyperlink w:history="0" w:anchor="P2383" w:tooltip="б) разработка новых туристских маршрутов (включая маркировку, навигацию, обеспечение безопасности, организацию выделенных зон отдыха);">
        <w:r>
          <w:rPr>
            <w:sz w:val="20"/>
            <w:color w:val="0000ff"/>
          </w:rPr>
          <w:t xml:space="preserve">подпункте "б" пункта 1.3</w:t>
        </w:r>
      </w:hyperlink>
      <w:r>
        <w:rPr>
          <w:sz w:val="20"/>
        </w:rPr>
        <w:t xml:space="preserve"> настоящего Порядка, оцениваются комиссией по балльной системе в соответствии со следующими критериями: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345"/>
        <w:gridCol w:w="5216"/>
      </w:tblGrid>
      <w:tr>
        <w:tc>
          <w:tcPr>
            <w:tcW w:w="510" w:type="dxa"/>
          </w:tcPr>
          <w:p>
            <w:pPr>
              <w:pStyle w:val="0"/>
              <w:jc w:val="center"/>
            </w:pPr>
            <w:r>
              <w:rPr>
                <w:sz w:val="20"/>
              </w:rPr>
              <w:t xml:space="preserve">N п/п</w:t>
            </w:r>
          </w:p>
        </w:tc>
        <w:tc>
          <w:tcPr>
            <w:tcW w:w="3345" w:type="dxa"/>
          </w:tcPr>
          <w:p>
            <w:pPr>
              <w:pStyle w:val="0"/>
              <w:jc w:val="center"/>
            </w:pPr>
            <w:r>
              <w:rPr>
                <w:sz w:val="20"/>
              </w:rPr>
              <w:t xml:space="preserve">Наименование критерия</w:t>
            </w:r>
          </w:p>
        </w:tc>
        <w:tc>
          <w:tcPr>
            <w:tcW w:w="5216" w:type="dxa"/>
          </w:tcPr>
          <w:p>
            <w:pPr>
              <w:pStyle w:val="0"/>
              <w:jc w:val="center"/>
            </w:pPr>
            <w:r>
              <w:rPr>
                <w:sz w:val="20"/>
              </w:rPr>
              <w:t xml:space="preserve">Количество баллов</w:t>
            </w:r>
          </w:p>
        </w:tc>
      </w:tr>
      <w:tr>
        <w:tc>
          <w:tcPr>
            <w:tcW w:w="510" w:type="dxa"/>
          </w:tcPr>
          <w:p>
            <w:pPr>
              <w:pStyle w:val="0"/>
              <w:jc w:val="center"/>
            </w:pPr>
            <w:r>
              <w:rPr>
                <w:sz w:val="20"/>
              </w:rPr>
              <w:t xml:space="preserve">1</w:t>
            </w:r>
          </w:p>
        </w:tc>
        <w:tc>
          <w:tcPr>
            <w:tcW w:w="3345" w:type="dxa"/>
          </w:tcPr>
          <w:p>
            <w:pPr>
              <w:pStyle w:val="0"/>
              <w:jc w:val="center"/>
            </w:pPr>
            <w:r>
              <w:rPr>
                <w:sz w:val="20"/>
              </w:rPr>
              <w:t xml:space="preserve">2</w:t>
            </w:r>
          </w:p>
        </w:tc>
        <w:tc>
          <w:tcPr>
            <w:tcW w:w="5216" w:type="dxa"/>
          </w:tcPr>
          <w:p>
            <w:pPr>
              <w:pStyle w:val="0"/>
              <w:jc w:val="center"/>
            </w:pPr>
            <w:r>
              <w:rPr>
                <w:sz w:val="20"/>
              </w:rPr>
              <w:t xml:space="preserve">3</w:t>
            </w:r>
          </w:p>
        </w:tc>
      </w:tr>
      <w:tr>
        <w:tc>
          <w:tcPr>
            <w:tcW w:w="510" w:type="dxa"/>
            <w:vMerge w:val="restart"/>
          </w:tcPr>
          <w:p>
            <w:pPr>
              <w:pStyle w:val="0"/>
              <w:jc w:val="center"/>
            </w:pPr>
            <w:r>
              <w:rPr>
                <w:sz w:val="20"/>
              </w:rPr>
              <w:t xml:space="preserve">1</w:t>
            </w:r>
          </w:p>
        </w:tc>
        <w:tc>
          <w:tcPr>
            <w:tcW w:w="3345" w:type="dxa"/>
            <w:vMerge w:val="restart"/>
          </w:tcPr>
          <w:p>
            <w:pPr>
              <w:pStyle w:val="0"/>
            </w:pPr>
            <w:r>
              <w:rPr>
                <w:sz w:val="20"/>
              </w:rPr>
              <w:t xml:space="preserve">Актуальность проекта, его соответствие выбранному направлению в соответствии с </w:t>
            </w:r>
            <w:hyperlink w:history="0" w:anchor="P2381" w:tooltip="1.3. Субсидии предоставляются на финансовое обеспечение государственной поддержки проектов, направленных на развитие инфраструктуры туризма на территории Ленинградской области, по следующим направлениям:">
              <w:r>
                <w:rPr>
                  <w:sz w:val="20"/>
                  <w:color w:val="0000ff"/>
                </w:rPr>
                <w:t xml:space="preserve">пунктом 1.3</w:t>
              </w:r>
            </w:hyperlink>
            <w:r>
              <w:rPr>
                <w:sz w:val="20"/>
              </w:rPr>
              <w:t xml:space="preserve"> настоящего Порядка</w:t>
            </w:r>
          </w:p>
        </w:tc>
        <w:tc>
          <w:tcPr>
            <w:tcW w:w="5216" w:type="dxa"/>
          </w:tcPr>
          <w:p>
            <w:pPr>
              <w:pStyle w:val="0"/>
            </w:pPr>
            <w:r>
              <w:rPr>
                <w:sz w:val="20"/>
              </w:rPr>
              <w:t xml:space="preserve">Проект актуален, соответствует выбранному направлению в полной мере - 35 баллов</w:t>
            </w:r>
          </w:p>
        </w:tc>
      </w:tr>
      <w:tr>
        <w:tc>
          <w:tcPr>
            <w:vMerge w:val="continue"/>
          </w:tcPr>
          <w:p/>
        </w:tc>
        <w:tc>
          <w:tcPr>
            <w:vMerge w:val="continue"/>
          </w:tcPr>
          <w:p/>
        </w:tc>
        <w:tc>
          <w:tcPr>
            <w:tcW w:w="5216" w:type="dxa"/>
          </w:tcPr>
          <w:p>
            <w:pPr>
              <w:pStyle w:val="0"/>
              <w:jc w:val="both"/>
            </w:pPr>
            <w:r>
              <w:rPr>
                <w:sz w:val="20"/>
              </w:rPr>
              <w:t xml:space="preserve">Проект актуален, частично соответствует выбранному направлению - 20 баллов</w:t>
            </w:r>
          </w:p>
        </w:tc>
      </w:tr>
      <w:tr>
        <w:tc>
          <w:tcPr>
            <w:vMerge w:val="continue"/>
          </w:tcPr>
          <w:p/>
        </w:tc>
        <w:tc>
          <w:tcPr>
            <w:vMerge w:val="continue"/>
          </w:tcPr>
          <w:p/>
        </w:tc>
        <w:tc>
          <w:tcPr>
            <w:tcW w:w="5216" w:type="dxa"/>
          </w:tcPr>
          <w:p>
            <w:pPr>
              <w:pStyle w:val="0"/>
              <w:jc w:val="both"/>
            </w:pPr>
            <w:r>
              <w:rPr>
                <w:sz w:val="20"/>
              </w:rPr>
              <w:t xml:space="preserve">Проект не актуален - 0 баллов</w:t>
            </w:r>
          </w:p>
        </w:tc>
      </w:tr>
      <w:tr>
        <w:tc>
          <w:tcPr>
            <w:tcW w:w="510" w:type="dxa"/>
            <w:vMerge w:val="restart"/>
          </w:tcPr>
          <w:p>
            <w:pPr>
              <w:pStyle w:val="0"/>
              <w:jc w:val="center"/>
            </w:pPr>
            <w:r>
              <w:rPr>
                <w:sz w:val="20"/>
              </w:rPr>
              <w:t xml:space="preserve">2</w:t>
            </w:r>
          </w:p>
        </w:tc>
        <w:tc>
          <w:tcPr>
            <w:tcW w:w="3345" w:type="dxa"/>
            <w:vMerge w:val="restart"/>
          </w:tcPr>
          <w:p>
            <w:pPr>
              <w:pStyle w:val="0"/>
            </w:pPr>
            <w:r>
              <w:rPr>
                <w:sz w:val="20"/>
              </w:rPr>
              <w:t xml:space="preserve">Уровень софинансирования проекта в процентах</w:t>
            </w:r>
          </w:p>
        </w:tc>
        <w:tc>
          <w:tcPr>
            <w:tcW w:w="5216" w:type="dxa"/>
          </w:tcPr>
          <w:p>
            <w:pPr>
              <w:pStyle w:val="0"/>
            </w:pPr>
            <w:r>
              <w:rPr>
                <w:sz w:val="20"/>
              </w:rPr>
              <w:t xml:space="preserve">от 51% и выше - 35 баллов</w:t>
            </w:r>
          </w:p>
        </w:tc>
      </w:tr>
      <w:tr>
        <w:tc>
          <w:tcPr>
            <w:vMerge w:val="continue"/>
          </w:tcPr>
          <w:p/>
        </w:tc>
        <w:tc>
          <w:tcPr>
            <w:vMerge w:val="continue"/>
          </w:tcPr>
          <w:p/>
        </w:tc>
        <w:tc>
          <w:tcPr>
            <w:tcW w:w="5216" w:type="dxa"/>
          </w:tcPr>
          <w:p>
            <w:pPr>
              <w:pStyle w:val="0"/>
              <w:jc w:val="both"/>
            </w:pPr>
            <w:r>
              <w:rPr>
                <w:sz w:val="20"/>
              </w:rPr>
              <w:t xml:space="preserve">от 41% до 50% - 15 баллов</w:t>
            </w:r>
          </w:p>
        </w:tc>
      </w:tr>
      <w:tr>
        <w:tc>
          <w:tcPr>
            <w:vMerge w:val="continue"/>
          </w:tcPr>
          <w:p/>
        </w:tc>
        <w:tc>
          <w:tcPr>
            <w:vMerge w:val="continue"/>
          </w:tcPr>
          <w:p/>
        </w:tc>
        <w:tc>
          <w:tcPr>
            <w:tcW w:w="5216" w:type="dxa"/>
          </w:tcPr>
          <w:p>
            <w:pPr>
              <w:pStyle w:val="0"/>
              <w:jc w:val="both"/>
            </w:pPr>
            <w:r>
              <w:rPr>
                <w:sz w:val="20"/>
              </w:rPr>
              <w:t xml:space="preserve">от 31% до 40% - 5 баллов</w:t>
            </w:r>
          </w:p>
        </w:tc>
      </w:tr>
      <w:tr>
        <w:tc>
          <w:tcPr>
            <w:vMerge w:val="continue"/>
          </w:tcPr>
          <w:p/>
        </w:tc>
        <w:tc>
          <w:tcPr>
            <w:vMerge w:val="continue"/>
          </w:tcPr>
          <w:p/>
        </w:tc>
        <w:tc>
          <w:tcPr>
            <w:tcW w:w="5216" w:type="dxa"/>
          </w:tcPr>
          <w:p>
            <w:pPr>
              <w:pStyle w:val="0"/>
              <w:jc w:val="both"/>
            </w:pPr>
            <w:r>
              <w:rPr>
                <w:sz w:val="20"/>
              </w:rPr>
              <w:t xml:space="preserve">от 0% до 30% - 0 баллов</w:t>
            </w:r>
          </w:p>
        </w:tc>
      </w:tr>
      <w:tr>
        <w:tc>
          <w:tcPr>
            <w:tcW w:w="510" w:type="dxa"/>
            <w:vMerge w:val="restart"/>
          </w:tcPr>
          <w:p>
            <w:pPr>
              <w:pStyle w:val="0"/>
              <w:jc w:val="center"/>
            </w:pPr>
            <w:r>
              <w:rPr>
                <w:sz w:val="20"/>
              </w:rPr>
              <w:t xml:space="preserve">3</w:t>
            </w:r>
          </w:p>
        </w:tc>
        <w:tc>
          <w:tcPr>
            <w:tcW w:w="3345" w:type="dxa"/>
            <w:vMerge w:val="restart"/>
          </w:tcPr>
          <w:p>
            <w:pPr>
              <w:pStyle w:val="0"/>
            </w:pPr>
            <w:r>
              <w:rPr>
                <w:sz w:val="20"/>
              </w:rPr>
              <w:t xml:space="preserve">Логическая взаимосвязь и реализуемость проекта</w:t>
            </w:r>
          </w:p>
        </w:tc>
        <w:tc>
          <w:tcPr>
            <w:tcW w:w="5216" w:type="dxa"/>
          </w:tcPr>
          <w:p>
            <w:pPr>
              <w:pStyle w:val="0"/>
            </w:pPr>
            <w:r>
              <w:rPr>
                <w:sz w:val="20"/>
              </w:rPr>
              <w:t xml:space="preserve">Цели и задачи соответствуют содержанию проекта, календарный план структурирован и детализирован - 5 баллов</w:t>
            </w:r>
          </w:p>
        </w:tc>
      </w:tr>
      <w:tr>
        <w:tc>
          <w:tcPr>
            <w:vMerge w:val="continue"/>
          </w:tcPr>
          <w:p/>
        </w:tc>
        <w:tc>
          <w:tcPr>
            <w:vMerge w:val="continue"/>
          </w:tcPr>
          <w:p/>
        </w:tc>
        <w:tc>
          <w:tcPr>
            <w:tcW w:w="5216" w:type="dxa"/>
          </w:tcPr>
          <w:p>
            <w:pPr>
              <w:pStyle w:val="0"/>
            </w:pPr>
            <w:r>
              <w:rPr>
                <w:sz w:val="20"/>
              </w:rPr>
              <w:t xml:space="preserve">Цели и задачи соответствуют содержанию проекта, но есть замечания по их составу, сроки выполнения отдельных мероприятий требуют корректировки - 3 балла</w:t>
            </w:r>
          </w:p>
        </w:tc>
      </w:tr>
      <w:tr>
        <w:tc>
          <w:tcPr>
            <w:vMerge w:val="continue"/>
          </w:tcPr>
          <w:p/>
        </w:tc>
        <w:tc>
          <w:tcPr>
            <w:vMerge w:val="continue"/>
          </w:tcPr>
          <w:p/>
        </w:tc>
        <w:tc>
          <w:tcPr>
            <w:tcW w:w="5216" w:type="dxa"/>
          </w:tcPr>
          <w:p>
            <w:pPr>
              <w:pStyle w:val="0"/>
            </w:pPr>
            <w:r>
              <w:rPr>
                <w:sz w:val="20"/>
              </w:rPr>
              <w:t xml:space="preserve">Проект имеет противоречия между планируемой деятельностью и ожидаемыми результатами, отсутствует детализация календарного плана, имеются ошибки в постановке целей, задач и описании мероприятий - 0 баллов</w:t>
            </w:r>
          </w:p>
        </w:tc>
      </w:tr>
      <w:tr>
        <w:tc>
          <w:tcPr>
            <w:tcW w:w="510" w:type="dxa"/>
            <w:vMerge w:val="restart"/>
          </w:tcPr>
          <w:p>
            <w:pPr>
              <w:pStyle w:val="0"/>
              <w:jc w:val="center"/>
            </w:pPr>
            <w:r>
              <w:rPr>
                <w:sz w:val="20"/>
              </w:rPr>
              <w:t xml:space="preserve">4</w:t>
            </w:r>
          </w:p>
        </w:tc>
        <w:tc>
          <w:tcPr>
            <w:tcW w:w="3345" w:type="dxa"/>
            <w:vMerge w:val="restart"/>
          </w:tcPr>
          <w:p>
            <w:pPr>
              <w:pStyle w:val="0"/>
            </w:pPr>
            <w:r>
              <w:rPr>
                <w:sz w:val="20"/>
              </w:rPr>
              <w:t xml:space="preserve">Обоснованность бюджета</w:t>
            </w:r>
          </w:p>
        </w:tc>
        <w:tc>
          <w:tcPr>
            <w:tcW w:w="5216" w:type="dxa"/>
          </w:tcPr>
          <w:p>
            <w:pPr>
              <w:pStyle w:val="0"/>
            </w:pPr>
            <w:r>
              <w:rPr>
                <w:sz w:val="20"/>
              </w:rPr>
              <w:t xml:space="preserve">В бюджете отсутствуют расходы, непосредственно не связанные с реализацией проекта, представлена детализация всех предполагаемых расходов - 7 баллов</w:t>
            </w:r>
          </w:p>
        </w:tc>
      </w:tr>
      <w:tr>
        <w:tc>
          <w:tcPr>
            <w:vMerge w:val="continue"/>
          </w:tcPr>
          <w:p/>
        </w:tc>
        <w:tc>
          <w:tcPr>
            <w:vMerge w:val="continue"/>
          </w:tcPr>
          <w:p/>
        </w:tc>
        <w:tc>
          <w:tcPr>
            <w:tcW w:w="5216" w:type="dxa"/>
          </w:tcPr>
          <w:p>
            <w:pPr>
              <w:pStyle w:val="0"/>
            </w:pPr>
            <w:r>
              <w:rPr>
                <w:sz w:val="20"/>
              </w:rPr>
              <w:t xml:space="preserve">Не все предполагаемые расходы следуют из мероприятий и обоснованы, в бюджете предусмотрены не имеющие прямого отношения к реализации проекта расходы - 3 балла</w:t>
            </w:r>
          </w:p>
        </w:tc>
      </w:tr>
      <w:tr>
        <w:tc>
          <w:tcPr>
            <w:vMerge w:val="continue"/>
          </w:tcPr>
          <w:p/>
        </w:tc>
        <w:tc>
          <w:tcPr>
            <w:vMerge w:val="continue"/>
          </w:tcPr>
          <w:p/>
        </w:tc>
        <w:tc>
          <w:tcPr>
            <w:tcW w:w="5216" w:type="dxa"/>
          </w:tcPr>
          <w:p>
            <w:pPr>
              <w:pStyle w:val="0"/>
            </w:pPr>
            <w:r>
              <w:rPr>
                <w:sz w:val="20"/>
              </w:rPr>
              <w:t xml:space="preserve">Предполагаемые расходы не соответствуют мероприятиям проекта и/или условиям конкурса - 0 баллов</w:t>
            </w:r>
          </w:p>
        </w:tc>
      </w:tr>
      <w:tr>
        <w:tc>
          <w:tcPr>
            <w:tcW w:w="510" w:type="dxa"/>
            <w:vMerge w:val="restart"/>
          </w:tcPr>
          <w:p>
            <w:pPr>
              <w:pStyle w:val="0"/>
              <w:jc w:val="center"/>
            </w:pPr>
            <w:r>
              <w:rPr>
                <w:sz w:val="20"/>
              </w:rPr>
              <w:t xml:space="preserve">5</w:t>
            </w:r>
          </w:p>
        </w:tc>
        <w:tc>
          <w:tcPr>
            <w:tcW w:w="3345" w:type="dxa"/>
            <w:vMerge w:val="restart"/>
          </w:tcPr>
          <w:p>
            <w:pPr>
              <w:pStyle w:val="0"/>
            </w:pPr>
            <w:r>
              <w:rPr>
                <w:sz w:val="20"/>
              </w:rPr>
              <w:t xml:space="preserve">Наличие целостной концепции туристского маршрута</w:t>
            </w:r>
          </w:p>
        </w:tc>
        <w:tc>
          <w:tcPr>
            <w:tcW w:w="5216" w:type="dxa"/>
          </w:tcPr>
          <w:p>
            <w:pPr>
              <w:pStyle w:val="0"/>
            </w:pPr>
            <w:r>
              <w:rPr>
                <w:sz w:val="20"/>
              </w:rPr>
              <w:t xml:space="preserve">Имеется целостная концепция туристского маршрута - 7 баллов</w:t>
            </w:r>
          </w:p>
        </w:tc>
      </w:tr>
      <w:tr>
        <w:tc>
          <w:tcPr>
            <w:vMerge w:val="continue"/>
          </w:tcPr>
          <w:p/>
        </w:tc>
        <w:tc>
          <w:tcPr>
            <w:vMerge w:val="continue"/>
          </w:tcPr>
          <w:p/>
        </w:tc>
        <w:tc>
          <w:tcPr>
            <w:tcW w:w="5216" w:type="dxa"/>
          </w:tcPr>
          <w:p>
            <w:pPr>
              <w:pStyle w:val="0"/>
            </w:pPr>
            <w:r>
              <w:rPr>
                <w:sz w:val="20"/>
              </w:rPr>
              <w:t xml:space="preserve">Отсутствует целостная концепция туристского маршрута - 0 баллов</w:t>
            </w:r>
          </w:p>
        </w:tc>
      </w:tr>
      <w:tr>
        <w:tc>
          <w:tcPr>
            <w:tcW w:w="510" w:type="dxa"/>
            <w:vMerge w:val="restart"/>
          </w:tcPr>
          <w:p>
            <w:pPr>
              <w:pStyle w:val="0"/>
              <w:jc w:val="center"/>
            </w:pPr>
            <w:r>
              <w:rPr>
                <w:sz w:val="20"/>
              </w:rPr>
              <w:t xml:space="preserve">6</w:t>
            </w:r>
          </w:p>
        </w:tc>
        <w:tc>
          <w:tcPr>
            <w:tcW w:w="3345" w:type="dxa"/>
            <w:vMerge w:val="restart"/>
          </w:tcPr>
          <w:p>
            <w:pPr>
              <w:pStyle w:val="0"/>
            </w:pPr>
            <w:r>
              <w:rPr>
                <w:sz w:val="20"/>
              </w:rPr>
              <w:t xml:space="preserve">Наличие стратегии продвижения</w:t>
            </w:r>
          </w:p>
        </w:tc>
        <w:tc>
          <w:tcPr>
            <w:tcW w:w="5216" w:type="dxa"/>
          </w:tcPr>
          <w:p>
            <w:pPr>
              <w:pStyle w:val="0"/>
            </w:pPr>
            <w:r>
              <w:rPr>
                <w:sz w:val="20"/>
              </w:rPr>
              <w:t xml:space="preserve">Проект предусматривает наличие детализированной стратегии продвижения - 7 баллов</w:t>
            </w:r>
          </w:p>
        </w:tc>
      </w:tr>
      <w:tr>
        <w:tc>
          <w:tcPr>
            <w:vMerge w:val="continue"/>
          </w:tcPr>
          <w:p/>
        </w:tc>
        <w:tc>
          <w:tcPr>
            <w:vMerge w:val="continue"/>
          </w:tcPr>
          <w:p/>
        </w:tc>
        <w:tc>
          <w:tcPr>
            <w:tcW w:w="5216" w:type="dxa"/>
          </w:tcPr>
          <w:p>
            <w:pPr>
              <w:pStyle w:val="0"/>
            </w:pPr>
            <w:r>
              <w:rPr>
                <w:sz w:val="20"/>
              </w:rPr>
              <w:t xml:space="preserve">В проекте отсутствует стратегия продвижения - 0 баллов</w:t>
            </w:r>
          </w:p>
        </w:tc>
      </w:tr>
      <w:tr>
        <w:tc>
          <w:tcPr>
            <w:tcW w:w="510" w:type="dxa"/>
            <w:vMerge w:val="restart"/>
          </w:tcPr>
          <w:p>
            <w:pPr>
              <w:pStyle w:val="0"/>
              <w:jc w:val="center"/>
            </w:pPr>
            <w:r>
              <w:rPr>
                <w:sz w:val="20"/>
              </w:rPr>
              <w:t xml:space="preserve">7</w:t>
            </w:r>
          </w:p>
        </w:tc>
        <w:tc>
          <w:tcPr>
            <w:tcW w:w="3345" w:type="dxa"/>
            <w:vMerge w:val="restart"/>
          </w:tcPr>
          <w:p>
            <w:pPr>
              <w:pStyle w:val="0"/>
            </w:pPr>
            <w:r>
              <w:rPr>
                <w:sz w:val="20"/>
              </w:rPr>
              <w:t xml:space="preserve">Наличие на туристском маршруте инфраструктуры, обеспечивающей комфортную среду для туристов (туалеты, скамейки, урны, места для палаток, место для кострища и др.)</w:t>
            </w:r>
          </w:p>
        </w:tc>
        <w:tc>
          <w:tcPr>
            <w:tcW w:w="5216" w:type="dxa"/>
          </w:tcPr>
          <w:p>
            <w:pPr>
              <w:pStyle w:val="0"/>
            </w:pPr>
            <w:r>
              <w:rPr>
                <w:sz w:val="20"/>
              </w:rPr>
              <w:t xml:space="preserve">На туристском маршруте имеется инфраструктура, обеспечивающая комфортную среду для туристов, - 7 баллов</w:t>
            </w:r>
          </w:p>
        </w:tc>
      </w:tr>
      <w:tr>
        <w:tc>
          <w:tcPr>
            <w:vMerge w:val="continue"/>
          </w:tcPr>
          <w:p/>
        </w:tc>
        <w:tc>
          <w:tcPr>
            <w:vMerge w:val="continue"/>
          </w:tcPr>
          <w:p/>
        </w:tc>
        <w:tc>
          <w:tcPr>
            <w:tcW w:w="5216" w:type="dxa"/>
          </w:tcPr>
          <w:p>
            <w:pPr>
              <w:pStyle w:val="0"/>
            </w:pPr>
            <w:r>
              <w:rPr>
                <w:sz w:val="20"/>
              </w:rPr>
              <w:t xml:space="preserve">На туристском маршруте отсутствует инфраструктура, обеспечивающая комфортную среду для туристов, - 0 баллов</w:t>
            </w:r>
          </w:p>
        </w:tc>
      </w:tr>
      <w:tr>
        <w:tc>
          <w:tcPr>
            <w:tcW w:w="510" w:type="dxa"/>
            <w:vMerge w:val="restart"/>
          </w:tcPr>
          <w:p>
            <w:pPr>
              <w:pStyle w:val="0"/>
              <w:jc w:val="center"/>
            </w:pPr>
            <w:r>
              <w:rPr>
                <w:sz w:val="20"/>
              </w:rPr>
              <w:t xml:space="preserve">8</w:t>
            </w:r>
          </w:p>
        </w:tc>
        <w:tc>
          <w:tcPr>
            <w:tcW w:w="3345" w:type="dxa"/>
            <w:vMerge w:val="restart"/>
          </w:tcPr>
          <w:p>
            <w:pPr>
              <w:pStyle w:val="0"/>
            </w:pPr>
            <w:r>
              <w:rPr>
                <w:sz w:val="20"/>
              </w:rPr>
              <w:t xml:space="preserve">Маркировка туристского маршрута в соответствии с рекомендацией по маркировке туристских маршрутов и троп на природных территориях Ленинградской области</w:t>
            </w:r>
          </w:p>
        </w:tc>
        <w:tc>
          <w:tcPr>
            <w:tcW w:w="5216" w:type="dxa"/>
          </w:tcPr>
          <w:p>
            <w:pPr>
              <w:pStyle w:val="0"/>
            </w:pPr>
            <w:r>
              <w:rPr>
                <w:sz w:val="20"/>
              </w:rPr>
              <w:t xml:space="preserve">План по маркировке туристского маршрута разработан в соответствии с рекомендацией по маркировке туристских маршрутов и троп на природных территориях Ленинградской области - 5 баллов</w:t>
            </w:r>
          </w:p>
        </w:tc>
      </w:tr>
      <w:tr>
        <w:tc>
          <w:tcPr>
            <w:vMerge w:val="continue"/>
          </w:tcPr>
          <w:p/>
        </w:tc>
        <w:tc>
          <w:tcPr>
            <w:vMerge w:val="continue"/>
          </w:tcPr>
          <w:p/>
        </w:tc>
        <w:tc>
          <w:tcPr>
            <w:tcW w:w="5216" w:type="dxa"/>
          </w:tcPr>
          <w:p>
            <w:pPr>
              <w:pStyle w:val="0"/>
            </w:pPr>
            <w:r>
              <w:rPr>
                <w:sz w:val="20"/>
              </w:rPr>
              <w:t xml:space="preserve">План по маркировке туристского маршрута разработан в соответствии с иными рекомендациями по маркировке туристских маршрутов - 0 баллов</w:t>
            </w:r>
          </w:p>
        </w:tc>
      </w:tr>
    </w:tbl>
    <w:p>
      <w:pPr>
        <w:pStyle w:val="0"/>
        <w:ind w:firstLine="540"/>
        <w:jc w:val="both"/>
      </w:pPr>
      <w:r>
        <w:rPr>
          <w:sz w:val="20"/>
        </w:rPr>
      </w:r>
    </w:p>
    <w:bookmarkStart w:id="2538" w:name="P2538"/>
    <w:bookmarkEnd w:id="2538"/>
    <w:p>
      <w:pPr>
        <w:pStyle w:val="0"/>
        <w:ind w:firstLine="540"/>
        <w:jc w:val="both"/>
      </w:pPr>
      <w:r>
        <w:rPr>
          <w:sz w:val="20"/>
        </w:rPr>
        <w:t xml:space="preserve">2.12. Представленные на конкурсный отбор заявки по направлению, указанному в </w:t>
      </w:r>
      <w:hyperlink w:history="0" w:anchor="P2384" w:tooltip="в)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
        <w:r>
          <w:rPr>
            <w:sz w:val="20"/>
            <w:color w:val="0000ff"/>
          </w:rPr>
          <w:t xml:space="preserve">подпункте "в" пункта 1.3</w:t>
        </w:r>
      </w:hyperlink>
      <w:r>
        <w:rPr>
          <w:sz w:val="20"/>
        </w:rPr>
        <w:t xml:space="preserve"> настоящего Порядка, оцениваются комиссией по балльной системе в соответствии со следующими критериями: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345"/>
        <w:gridCol w:w="5216"/>
      </w:tblGrid>
      <w:tr>
        <w:tc>
          <w:tcPr>
            <w:tcW w:w="510" w:type="dxa"/>
          </w:tcPr>
          <w:p>
            <w:pPr>
              <w:pStyle w:val="0"/>
              <w:jc w:val="center"/>
            </w:pPr>
            <w:r>
              <w:rPr>
                <w:sz w:val="20"/>
              </w:rPr>
              <w:t xml:space="preserve">N п/п</w:t>
            </w:r>
          </w:p>
        </w:tc>
        <w:tc>
          <w:tcPr>
            <w:tcW w:w="3345" w:type="dxa"/>
          </w:tcPr>
          <w:p>
            <w:pPr>
              <w:pStyle w:val="0"/>
              <w:jc w:val="center"/>
            </w:pPr>
            <w:r>
              <w:rPr>
                <w:sz w:val="20"/>
              </w:rPr>
              <w:t xml:space="preserve">Наименование критерия</w:t>
            </w:r>
          </w:p>
        </w:tc>
        <w:tc>
          <w:tcPr>
            <w:tcW w:w="5216" w:type="dxa"/>
          </w:tcPr>
          <w:p>
            <w:pPr>
              <w:pStyle w:val="0"/>
              <w:jc w:val="center"/>
            </w:pPr>
            <w:r>
              <w:rPr>
                <w:sz w:val="20"/>
              </w:rPr>
              <w:t xml:space="preserve">Количество баллов</w:t>
            </w:r>
          </w:p>
        </w:tc>
      </w:tr>
      <w:tr>
        <w:tc>
          <w:tcPr>
            <w:tcW w:w="510" w:type="dxa"/>
          </w:tcPr>
          <w:p>
            <w:pPr>
              <w:pStyle w:val="0"/>
              <w:jc w:val="center"/>
            </w:pPr>
            <w:r>
              <w:rPr>
                <w:sz w:val="20"/>
              </w:rPr>
              <w:t xml:space="preserve">1</w:t>
            </w:r>
          </w:p>
        </w:tc>
        <w:tc>
          <w:tcPr>
            <w:tcW w:w="3345" w:type="dxa"/>
          </w:tcPr>
          <w:p>
            <w:pPr>
              <w:pStyle w:val="0"/>
              <w:jc w:val="center"/>
            </w:pPr>
            <w:r>
              <w:rPr>
                <w:sz w:val="20"/>
              </w:rPr>
              <w:t xml:space="preserve">2</w:t>
            </w:r>
          </w:p>
        </w:tc>
        <w:tc>
          <w:tcPr>
            <w:tcW w:w="5216" w:type="dxa"/>
          </w:tcPr>
          <w:p>
            <w:pPr>
              <w:pStyle w:val="0"/>
              <w:jc w:val="center"/>
            </w:pPr>
            <w:r>
              <w:rPr>
                <w:sz w:val="20"/>
              </w:rPr>
              <w:t xml:space="preserve">3</w:t>
            </w:r>
          </w:p>
        </w:tc>
      </w:tr>
      <w:tr>
        <w:tc>
          <w:tcPr>
            <w:tcW w:w="510" w:type="dxa"/>
            <w:vMerge w:val="restart"/>
          </w:tcPr>
          <w:p>
            <w:pPr>
              <w:pStyle w:val="0"/>
              <w:jc w:val="center"/>
            </w:pPr>
            <w:r>
              <w:rPr>
                <w:sz w:val="20"/>
              </w:rPr>
              <w:t xml:space="preserve">1</w:t>
            </w:r>
          </w:p>
        </w:tc>
        <w:tc>
          <w:tcPr>
            <w:tcW w:w="3345" w:type="dxa"/>
            <w:vMerge w:val="restart"/>
          </w:tcPr>
          <w:p>
            <w:pPr>
              <w:pStyle w:val="0"/>
            </w:pPr>
            <w:r>
              <w:rPr>
                <w:sz w:val="20"/>
              </w:rPr>
              <w:t xml:space="preserve">Актуальность проекта, его соответствие выбранному направлению в соответствии с </w:t>
            </w:r>
            <w:hyperlink w:history="0" w:anchor="P2381" w:tooltip="1.3. Субсидии предоставляются на финансовое обеспечение государственной поддержки проектов, направленных на развитие инфраструктуры туризма на территории Ленинградской области, по следующим направлениям:">
              <w:r>
                <w:rPr>
                  <w:sz w:val="20"/>
                  <w:color w:val="0000ff"/>
                </w:rPr>
                <w:t xml:space="preserve">пунктом 1.3</w:t>
              </w:r>
            </w:hyperlink>
            <w:r>
              <w:rPr>
                <w:sz w:val="20"/>
              </w:rPr>
              <w:t xml:space="preserve"> настоящего Порядка</w:t>
            </w:r>
          </w:p>
        </w:tc>
        <w:tc>
          <w:tcPr>
            <w:tcW w:w="5216" w:type="dxa"/>
          </w:tcPr>
          <w:p>
            <w:pPr>
              <w:pStyle w:val="0"/>
            </w:pPr>
            <w:r>
              <w:rPr>
                <w:sz w:val="20"/>
              </w:rPr>
              <w:t xml:space="preserve">Проект актуален, соответствует выбранному направлению в полной мере - 35 баллов</w:t>
            </w:r>
          </w:p>
        </w:tc>
      </w:tr>
      <w:tr>
        <w:tc>
          <w:tcPr>
            <w:vMerge w:val="continue"/>
          </w:tcPr>
          <w:p/>
        </w:tc>
        <w:tc>
          <w:tcPr>
            <w:vMerge w:val="continue"/>
          </w:tcPr>
          <w:p/>
        </w:tc>
        <w:tc>
          <w:tcPr>
            <w:tcW w:w="5216" w:type="dxa"/>
          </w:tcPr>
          <w:p>
            <w:pPr>
              <w:pStyle w:val="0"/>
              <w:jc w:val="both"/>
            </w:pPr>
            <w:r>
              <w:rPr>
                <w:sz w:val="20"/>
              </w:rPr>
              <w:t xml:space="preserve">Проект актуален, частично соответствует выбранному направлению - 20 баллов</w:t>
            </w:r>
          </w:p>
        </w:tc>
      </w:tr>
      <w:tr>
        <w:tc>
          <w:tcPr>
            <w:vMerge w:val="continue"/>
          </w:tcPr>
          <w:p/>
        </w:tc>
        <w:tc>
          <w:tcPr>
            <w:vMerge w:val="continue"/>
          </w:tcPr>
          <w:p/>
        </w:tc>
        <w:tc>
          <w:tcPr>
            <w:tcW w:w="5216" w:type="dxa"/>
          </w:tcPr>
          <w:p>
            <w:pPr>
              <w:pStyle w:val="0"/>
              <w:jc w:val="both"/>
            </w:pPr>
            <w:r>
              <w:rPr>
                <w:sz w:val="20"/>
              </w:rPr>
              <w:t xml:space="preserve">Проект не актуален - 0 баллов</w:t>
            </w:r>
          </w:p>
        </w:tc>
      </w:tr>
      <w:tr>
        <w:tc>
          <w:tcPr>
            <w:tcW w:w="510" w:type="dxa"/>
            <w:vMerge w:val="restart"/>
          </w:tcPr>
          <w:p>
            <w:pPr>
              <w:pStyle w:val="0"/>
              <w:jc w:val="center"/>
            </w:pPr>
            <w:r>
              <w:rPr>
                <w:sz w:val="20"/>
              </w:rPr>
              <w:t xml:space="preserve">2</w:t>
            </w:r>
          </w:p>
        </w:tc>
        <w:tc>
          <w:tcPr>
            <w:tcW w:w="3345" w:type="dxa"/>
            <w:vMerge w:val="restart"/>
          </w:tcPr>
          <w:p>
            <w:pPr>
              <w:pStyle w:val="0"/>
            </w:pPr>
            <w:r>
              <w:rPr>
                <w:sz w:val="20"/>
              </w:rPr>
              <w:t xml:space="preserve">Уровень софинансирования проекта в процентах</w:t>
            </w:r>
          </w:p>
        </w:tc>
        <w:tc>
          <w:tcPr>
            <w:tcW w:w="5216" w:type="dxa"/>
          </w:tcPr>
          <w:p>
            <w:pPr>
              <w:pStyle w:val="0"/>
            </w:pPr>
            <w:r>
              <w:rPr>
                <w:sz w:val="20"/>
              </w:rPr>
              <w:t xml:space="preserve">от 51% и выше - 35 баллов</w:t>
            </w:r>
          </w:p>
        </w:tc>
      </w:tr>
      <w:tr>
        <w:tc>
          <w:tcPr>
            <w:vMerge w:val="continue"/>
          </w:tcPr>
          <w:p/>
        </w:tc>
        <w:tc>
          <w:tcPr>
            <w:vMerge w:val="continue"/>
          </w:tcPr>
          <w:p/>
        </w:tc>
        <w:tc>
          <w:tcPr>
            <w:tcW w:w="5216" w:type="dxa"/>
          </w:tcPr>
          <w:p>
            <w:pPr>
              <w:pStyle w:val="0"/>
              <w:jc w:val="both"/>
            </w:pPr>
            <w:r>
              <w:rPr>
                <w:sz w:val="20"/>
              </w:rPr>
              <w:t xml:space="preserve">от 41% до 50% - 15 баллов</w:t>
            </w:r>
          </w:p>
        </w:tc>
      </w:tr>
      <w:tr>
        <w:tc>
          <w:tcPr>
            <w:vMerge w:val="continue"/>
          </w:tcPr>
          <w:p/>
        </w:tc>
        <w:tc>
          <w:tcPr>
            <w:vMerge w:val="continue"/>
          </w:tcPr>
          <w:p/>
        </w:tc>
        <w:tc>
          <w:tcPr>
            <w:tcW w:w="5216" w:type="dxa"/>
          </w:tcPr>
          <w:p>
            <w:pPr>
              <w:pStyle w:val="0"/>
              <w:jc w:val="both"/>
            </w:pPr>
            <w:r>
              <w:rPr>
                <w:sz w:val="20"/>
              </w:rPr>
              <w:t xml:space="preserve">от 31% до 40% - 5 баллов</w:t>
            </w:r>
          </w:p>
        </w:tc>
      </w:tr>
      <w:tr>
        <w:tc>
          <w:tcPr>
            <w:vMerge w:val="continue"/>
          </w:tcPr>
          <w:p/>
        </w:tc>
        <w:tc>
          <w:tcPr>
            <w:vMerge w:val="continue"/>
          </w:tcPr>
          <w:p/>
        </w:tc>
        <w:tc>
          <w:tcPr>
            <w:tcW w:w="5216" w:type="dxa"/>
          </w:tcPr>
          <w:p>
            <w:pPr>
              <w:pStyle w:val="0"/>
              <w:jc w:val="both"/>
            </w:pPr>
            <w:r>
              <w:rPr>
                <w:sz w:val="20"/>
              </w:rPr>
              <w:t xml:space="preserve">от 0% до 30% - 0 баллов</w:t>
            </w:r>
          </w:p>
        </w:tc>
      </w:tr>
      <w:tr>
        <w:tc>
          <w:tcPr>
            <w:tcW w:w="510" w:type="dxa"/>
            <w:vMerge w:val="restart"/>
          </w:tcPr>
          <w:p>
            <w:pPr>
              <w:pStyle w:val="0"/>
              <w:jc w:val="center"/>
            </w:pPr>
            <w:r>
              <w:rPr>
                <w:sz w:val="20"/>
              </w:rPr>
              <w:t xml:space="preserve">3</w:t>
            </w:r>
          </w:p>
        </w:tc>
        <w:tc>
          <w:tcPr>
            <w:tcW w:w="3345" w:type="dxa"/>
            <w:vMerge w:val="restart"/>
          </w:tcPr>
          <w:p>
            <w:pPr>
              <w:pStyle w:val="0"/>
            </w:pPr>
            <w:r>
              <w:rPr>
                <w:sz w:val="20"/>
              </w:rPr>
              <w:t xml:space="preserve">Взаимосвязь проекта с туристскими объектами, туристскими маршрутами Ленинградской области</w:t>
            </w:r>
          </w:p>
        </w:tc>
        <w:tc>
          <w:tcPr>
            <w:tcW w:w="5216" w:type="dxa"/>
          </w:tcPr>
          <w:p>
            <w:pPr>
              <w:pStyle w:val="0"/>
            </w:pPr>
            <w:r>
              <w:rPr>
                <w:sz w:val="20"/>
              </w:rPr>
              <w:t xml:space="preserve">Проект взаимосвязан с туристскими объектами, туристскими маршрутами Ленинградской области - 7 баллов</w:t>
            </w:r>
          </w:p>
        </w:tc>
      </w:tr>
      <w:tr>
        <w:tc>
          <w:tcPr>
            <w:vMerge w:val="continue"/>
          </w:tcPr>
          <w:p/>
        </w:tc>
        <w:tc>
          <w:tcPr>
            <w:vMerge w:val="continue"/>
          </w:tcPr>
          <w:p/>
        </w:tc>
        <w:tc>
          <w:tcPr>
            <w:tcW w:w="5216" w:type="dxa"/>
          </w:tcPr>
          <w:p>
            <w:pPr>
              <w:pStyle w:val="0"/>
              <w:jc w:val="both"/>
            </w:pPr>
            <w:r>
              <w:rPr>
                <w:sz w:val="20"/>
              </w:rPr>
              <w:t xml:space="preserve">Проект не взаимосвязан с туристскими объектами, туристскими маршрутами Ленинградской области - 0 баллов</w:t>
            </w:r>
          </w:p>
        </w:tc>
      </w:tr>
      <w:tr>
        <w:tc>
          <w:tcPr>
            <w:tcW w:w="510" w:type="dxa"/>
            <w:vMerge w:val="restart"/>
          </w:tcPr>
          <w:p>
            <w:pPr>
              <w:pStyle w:val="0"/>
              <w:jc w:val="center"/>
            </w:pPr>
            <w:r>
              <w:rPr>
                <w:sz w:val="20"/>
              </w:rPr>
              <w:t xml:space="preserve">4</w:t>
            </w:r>
          </w:p>
        </w:tc>
        <w:tc>
          <w:tcPr>
            <w:tcW w:w="3345" w:type="dxa"/>
            <w:vMerge w:val="restart"/>
          </w:tcPr>
          <w:p>
            <w:pPr>
              <w:pStyle w:val="0"/>
            </w:pPr>
            <w:r>
              <w:rPr>
                <w:sz w:val="20"/>
              </w:rPr>
              <w:t xml:space="preserve">Логическая взаимосвязь и реализуемость проекта</w:t>
            </w:r>
          </w:p>
        </w:tc>
        <w:tc>
          <w:tcPr>
            <w:tcW w:w="5216" w:type="dxa"/>
          </w:tcPr>
          <w:p>
            <w:pPr>
              <w:pStyle w:val="0"/>
            </w:pPr>
            <w:r>
              <w:rPr>
                <w:sz w:val="20"/>
              </w:rPr>
              <w:t xml:space="preserve">Цели и задачи соответствуют содержанию проекта, календарный план структурирован и детализирован - 5 баллов</w:t>
            </w:r>
          </w:p>
        </w:tc>
      </w:tr>
      <w:tr>
        <w:tc>
          <w:tcPr>
            <w:vMerge w:val="continue"/>
          </w:tcPr>
          <w:p/>
        </w:tc>
        <w:tc>
          <w:tcPr>
            <w:vMerge w:val="continue"/>
          </w:tcPr>
          <w:p/>
        </w:tc>
        <w:tc>
          <w:tcPr>
            <w:tcW w:w="5216" w:type="dxa"/>
          </w:tcPr>
          <w:p>
            <w:pPr>
              <w:pStyle w:val="0"/>
              <w:jc w:val="both"/>
            </w:pPr>
            <w:r>
              <w:rPr>
                <w:sz w:val="20"/>
              </w:rPr>
              <w:t xml:space="preserve">Цели и задачи соответствуют содержанию проекта, но есть замечания по их составу, сроки выполнения отдельных мероприятий требуют корректировки - 3 балла</w:t>
            </w:r>
          </w:p>
        </w:tc>
      </w:tr>
      <w:tr>
        <w:tc>
          <w:tcPr>
            <w:vMerge w:val="continue"/>
          </w:tcPr>
          <w:p/>
        </w:tc>
        <w:tc>
          <w:tcPr>
            <w:vMerge w:val="continue"/>
          </w:tcPr>
          <w:p/>
        </w:tc>
        <w:tc>
          <w:tcPr>
            <w:tcW w:w="5216" w:type="dxa"/>
          </w:tcPr>
          <w:p>
            <w:pPr>
              <w:pStyle w:val="0"/>
            </w:pPr>
            <w:r>
              <w:rPr>
                <w:sz w:val="20"/>
              </w:rPr>
              <w:t xml:space="preserve">Проект имеет противоречия между планируемой деятельностью и ожидаемыми результатами, отсутствует детализация календарного плана, имеются ошибки в постановке целей, задач и описании мероприятий - 0 баллов</w:t>
            </w:r>
          </w:p>
        </w:tc>
      </w:tr>
      <w:tr>
        <w:tc>
          <w:tcPr>
            <w:tcW w:w="510" w:type="dxa"/>
            <w:vMerge w:val="restart"/>
          </w:tcPr>
          <w:p>
            <w:pPr>
              <w:pStyle w:val="0"/>
              <w:jc w:val="center"/>
            </w:pPr>
            <w:r>
              <w:rPr>
                <w:sz w:val="20"/>
              </w:rPr>
              <w:t xml:space="preserve">5</w:t>
            </w:r>
          </w:p>
        </w:tc>
        <w:tc>
          <w:tcPr>
            <w:tcW w:w="3345" w:type="dxa"/>
            <w:vMerge w:val="restart"/>
          </w:tcPr>
          <w:p>
            <w:pPr>
              <w:pStyle w:val="0"/>
            </w:pPr>
            <w:r>
              <w:rPr>
                <w:sz w:val="20"/>
              </w:rPr>
              <w:t xml:space="preserve">Обоснованность бюджета</w:t>
            </w:r>
          </w:p>
        </w:tc>
        <w:tc>
          <w:tcPr>
            <w:tcW w:w="5216" w:type="dxa"/>
          </w:tcPr>
          <w:p>
            <w:pPr>
              <w:pStyle w:val="0"/>
            </w:pPr>
            <w:r>
              <w:rPr>
                <w:sz w:val="20"/>
              </w:rPr>
              <w:t xml:space="preserve">В бюджете отсутствуют расходы, непосредственно не связанные с реализацией проекта, представлена детализация всех предполагаемых расходов - 7 баллов</w:t>
            </w:r>
          </w:p>
        </w:tc>
      </w:tr>
      <w:tr>
        <w:tc>
          <w:tcPr>
            <w:vMerge w:val="continue"/>
          </w:tcPr>
          <w:p/>
        </w:tc>
        <w:tc>
          <w:tcPr>
            <w:vMerge w:val="continue"/>
          </w:tcPr>
          <w:p/>
        </w:tc>
        <w:tc>
          <w:tcPr>
            <w:tcW w:w="5216" w:type="dxa"/>
          </w:tcPr>
          <w:p>
            <w:pPr>
              <w:pStyle w:val="0"/>
            </w:pPr>
            <w:r>
              <w:rPr>
                <w:sz w:val="20"/>
              </w:rPr>
              <w:t xml:space="preserve">Не все предполагаемые расходы следуют из мероприятий и обоснованы, в бюджете предусмотрены не имеющие прямого отношения к реализации проекта расходы - 3 балла</w:t>
            </w:r>
          </w:p>
        </w:tc>
      </w:tr>
      <w:tr>
        <w:tc>
          <w:tcPr>
            <w:vMerge w:val="continue"/>
          </w:tcPr>
          <w:p/>
        </w:tc>
        <w:tc>
          <w:tcPr>
            <w:vMerge w:val="continue"/>
          </w:tcPr>
          <w:p/>
        </w:tc>
        <w:tc>
          <w:tcPr>
            <w:tcW w:w="5216" w:type="dxa"/>
          </w:tcPr>
          <w:p>
            <w:pPr>
              <w:pStyle w:val="0"/>
            </w:pPr>
            <w:r>
              <w:rPr>
                <w:sz w:val="20"/>
              </w:rPr>
              <w:t xml:space="preserve">Предполагаемые расходы не соответствуют мероприятиям проекта и/или условиям конкурса - 0 баллов</w:t>
            </w:r>
          </w:p>
        </w:tc>
      </w:tr>
    </w:tbl>
    <w:p>
      <w:pPr>
        <w:pStyle w:val="0"/>
        <w:ind w:firstLine="540"/>
        <w:jc w:val="both"/>
      </w:pPr>
      <w:r>
        <w:rPr>
          <w:sz w:val="20"/>
        </w:rPr>
      </w:r>
    </w:p>
    <w:bookmarkStart w:id="2572" w:name="P2572"/>
    <w:bookmarkEnd w:id="2572"/>
    <w:p>
      <w:pPr>
        <w:pStyle w:val="0"/>
        <w:ind w:firstLine="540"/>
        <w:jc w:val="both"/>
      </w:pPr>
      <w:r>
        <w:rPr>
          <w:sz w:val="20"/>
        </w:rPr>
        <w:t xml:space="preserve">2.13. Основаниями для отклонения заявки участника конкурсного отбора на стадии рассмотрения и оценки заявок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требованиям, указанным в </w:t>
      </w:r>
      <w:hyperlink w:history="0" w:anchor="P2392" w:tooltip="2.1. Субсидии предоставляются при соблюдении следующих условий:">
        <w:r>
          <w:rPr>
            <w:sz w:val="20"/>
            <w:color w:val="0000ff"/>
          </w:rPr>
          <w:t xml:space="preserve">пункте 2.1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несоответствие представленных участником конкурсного отбора документов требованиям, установленным </w:t>
      </w:r>
      <w:hyperlink w:history="0" w:anchor="P2432" w:tooltip="2.5. Для участия в конкурсном отборе участник представляет в комитет заявку, включающую следующие документы:">
        <w:r>
          <w:rPr>
            <w:sz w:val="20"/>
            <w:color w:val="0000ff"/>
          </w:rPr>
          <w:t xml:space="preserve">пунктом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конкурсного отбора заявки после даты и(или) времени, определенных в соответствии с </w:t>
      </w:r>
      <w:hyperlink w:history="0" w:anchor="P2415" w:tooltip="2.4. Объявление о проведении конкурсного отбора размещается на едином портале, а также на официальном сайте комитета в информационно-телекоммуникационной сети &quot;Интернет&quot;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с указанием следующей информации:">
        <w:r>
          <w:rPr>
            <w:sz w:val="20"/>
            <w:color w:val="0000ff"/>
          </w:rPr>
          <w:t xml:space="preserve">пунктом 2.4</w:t>
        </w:r>
      </w:hyperlink>
      <w:r>
        <w:rPr>
          <w:sz w:val="20"/>
        </w:rPr>
        <w:t xml:space="preserve"> настоящего Порядка.</w:t>
      </w:r>
    </w:p>
    <w:bookmarkStart w:id="2577" w:name="P2577"/>
    <w:bookmarkEnd w:id="2577"/>
    <w:p>
      <w:pPr>
        <w:pStyle w:val="0"/>
        <w:spacing w:before="200" w:line-rule="auto"/>
        <w:ind w:firstLine="540"/>
        <w:jc w:val="both"/>
      </w:pPr>
      <w:r>
        <w:rPr>
          <w:sz w:val="20"/>
        </w:rPr>
        <w:t xml:space="preserve">2.14.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требованиям, указанным в </w:t>
      </w:r>
      <w:hyperlink w:history="0" w:anchor="P2394" w:tooltip="2) соответствие участника конкурсного отбора по состоянию на дату подачи заявки следующим требованиям:">
        <w:r>
          <w:rPr>
            <w:sz w:val="20"/>
            <w:color w:val="0000ff"/>
          </w:rPr>
          <w:t xml:space="preserve">подпункте 2 пункта 2.1</w:t>
        </w:r>
      </w:hyperlink>
      <w:r>
        <w:rPr>
          <w:sz w:val="20"/>
        </w:rPr>
        <w:t xml:space="preserve"> настоящего Порядка;</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заявке по результатам оценки комиссией присвоено 50 и менее баллов.</w:t>
      </w:r>
    </w:p>
    <w:p>
      <w:pPr>
        <w:pStyle w:val="0"/>
        <w:spacing w:before="200" w:line-rule="auto"/>
        <w:ind w:firstLine="540"/>
        <w:jc w:val="both"/>
      </w:pPr>
      <w:r>
        <w:rPr>
          <w:sz w:val="20"/>
        </w:rPr>
        <w:t xml:space="preserve">2.15. Победителями конкурсного отбора признаются участники, набравшие в сумме наибольшее количество баллов, но не менее 50 баллов, до полного распределения лимитов бюджетных обязательств, доведенных до комитета.</w:t>
      </w:r>
    </w:p>
    <w:p>
      <w:pPr>
        <w:pStyle w:val="0"/>
        <w:spacing w:before="200" w:line-rule="auto"/>
        <w:ind w:firstLine="540"/>
        <w:jc w:val="both"/>
      </w:pPr>
      <w:r>
        <w:rPr>
          <w:sz w:val="20"/>
        </w:rPr>
        <w:t xml:space="preserve">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pPr>
        <w:pStyle w:val="0"/>
        <w:spacing w:before="200" w:line-rule="auto"/>
        <w:ind w:firstLine="540"/>
        <w:jc w:val="both"/>
      </w:pPr>
      <w:r>
        <w:rPr>
          <w:sz w:val="20"/>
        </w:rPr>
        <w:t xml:space="preserve">2.16.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а также на официальном сайте комитета в информационно-телекоммуникационной сети "Интернет" в течение трех рабочих дней с даты его подписания.</w:t>
      </w:r>
    </w:p>
    <w:p>
      <w:pPr>
        <w:pStyle w:val="0"/>
        <w:spacing w:before="200" w:line-rule="auto"/>
        <w:ind w:firstLine="540"/>
        <w:jc w:val="both"/>
      </w:pPr>
      <w:r>
        <w:rPr>
          <w:sz w:val="20"/>
        </w:rPr>
        <w:t xml:space="preserve">2.17.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pPr>
        <w:pStyle w:val="0"/>
        <w:spacing w:before="200" w:line-rule="auto"/>
        <w:ind w:firstLine="540"/>
        <w:jc w:val="both"/>
      </w:pPr>
      <w:r>
        <w:rPr>
          <w:sz w:val="20"/>
        </w:rPr>
        <w:t xml:space="preserve">Комитет в срок не позднее трех рабочих дней с даты издания распоряжения размещает на едином портале и на официальном сайте комитета в информационно-телекоммуникационной сети "Интернет" информацию о результатах конкурсного отбора, включающую:</w:t>
      </w:r>
    </w:p>
    <w:p>
      <w:pPr>
        <w:pStyle w:val="0"/>
        <w:spacing w:before="200" w:line-rule="auto"/>
        <w:ind w:firstLine="540"/>
        <w:jc w:val="both"/>
      </w:pPr>
      <w:r>
        <w:rPr>
          <w:sz w:val="20"/>
        </w:rPr>
        <w:t xml:space="preserve">дату, время и место рассмотрения заявок на соответствие требованиям настоящего Порядка;</w:t>
      </w:r>
    </w:p>
    <w:p>
      <w:pPr>
        <w:pStyle w:val="0"/>
        <w:spacing w:before="200" w:line-rule="auto"/>
        <w:ind w:firstLine="540"/>
        <w:jc w:val="both"/>
      </w:pPr>
      <w:r>
        <w:rPr>
          <w:sz w:val="20"/>
        </w:rPr>
        <w:t xml:space="preserve">дату, время и место оценки заявок участников конкурсного отбора;</w:t>
      </w:r>
    </w:p>
    <w:p>
      <w:pPr>
        <w:pStyle w:val="0"/>
        <w:spacing w:before="200" w:line-rule="auto"/>
        <w:ind w:firstLine="540"/>
        <w:jc w:val="both"/>
      </w:pPr>
      <w:r>
        <w:rPr>
          <w:sz w:val="20"/>
        </w:rPr>
        <w:t xml:space="preserve">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2.18.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w:t>
      </w:r>
    </w:p>
    <w:p>
      <w:pPr>
        <w:pStyle w:val="0"/>
        <w:spacing w:before="200" w:line-rule="auto"/>
        <w:ind w:firstLine="540"/>
        <w:jc w:val="both"/>
      </w:pPr>
      <w:r>
        <w:rPr>
          <w:sz w:val="20"/>
        </w:rPr>
        <w:t xml:space="preserve">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pPr>
        <w:pStyle w:val="0"/>
        <w:spacing w:before="200" w:line-rule="auto"/>
        <w:ind w:firstLine="540"/>
        <w:jc w:val="both"/>
      </w:pPr>
      <w:r>
        <w:rPr>
          <w:sz w:val="20"/>
        </w:rPr>
        <w:t xml:space="preserve">2.19. Соглашение заключается комитетом не позднее 10 рабочих дней с даты издания распоряжения комитета.</w:t>
      </w:r>
    </w:p>
    <w:p>
      <w:pPr>
        <w:pStyle w:val="0"/>
        <w:spacing w:before="200" w:line-rule="auto"/>
        <w:ind w:firstLine="540"/>
        <w:jc w:val="both"/>
      </w:pPr>
      <w:r>
        <w:rPr>
          <w:sz w:val="20"/>
        </w:rPr>
        <w:t xml:space="preserve">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правовым актом Комитета финансов Ленинградской области.</w:t>
      </w:r>
    </w:p>
    <w:p>
      <w:pPr>
        <w:pStyle w:val="0"/>
        <w:spacing w:before="200" w:line-rule="auto"/>
        <w:ind w:firstLine="540"/>
        <w:jc w:val="both"/>
      </w:pPr>
      <w:r>
        <w:rPr>
          <w:sz w:val="20"/>
        </w:rPr>
        <w:t xml:space="preserve">2.20. В случае если совокупный размер субсидии, запрашиваемый победителями отбора согласно заявкам, не превышает лимитов бюджетных обязательств, доведенных до комитета, субсидии устанавливаются в запрашиваемых размерах.</w:t>
      </w:r>
    </w:p>
    <w:p>
      <w:pPr>
        <w:pStyle w:val="0"/>
        <w:spacing w:before="200" w:line-rule="auto"/>
        <w:ind w:firstLine="540"/>
        <w:jc w:val="both"/>
      </w:pPr>
      <w:r>
        <w:rPr>
          <w:sz w:val="20"/>
        </w:rPr>
        <w:t xml:space="preserve">2.21. В случае если совокупный размер субсидии, запрашиваемый победителями отбора согласно заявкам, превышает лимиты бюджетных обязательств, доведенных до комитета, размер субсидии победителя, набравшего минимальное количество баллов, с его письменного согласия снижается на размер превышения.</w:t>
      </w:r>
    </w:p>
    <w:p>
      <w:pPr>
        <w:pStyle w:val="0"/>
        <w:spacing w:before="200" w:line-rule="auto"/>
        <w:ind w:firstLine="540"/>
        <w:jc w:val="both"/>
      </w:pPr>
      <w:r>
        <w:rPr>
          <w:sz w:val="20"/>
        </w:rPr>
        <w:t xml:space="preserve">В случае отказа победителя отбора, имеющего наименьший балл, от снижения размера субсидии, получателем субсидии признается следующий участник, набравший наименьшее количество баллов.</w:t>
      </w:r>
    </w:p>
    <w:p>
      <w:pPr>
        <w:pStyle w:val="0"/>
        <w:spacing w:before="200" w:line-rule="auto"/>
        <w:ind w:firstLine="540"/>
        <w:jc w:val="both"/>
      </w:pPr>
      <w:r>
        <w:rPr>
          <w:sz w:val="20"/>
        </w:rPr>
        <w:t xml:space="preserve">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 которые были возвращены в областной бюджет, а также в случае увеличения бюджетных ассигнований комитет проводит дополнительный отбор в соответствии с настоящим Порядком.</w:t>
      </w:r>
    </w:p>
    <w:p>
      <w:pPr>
        <w:pStyle w:val="0"/>
        <w:spacing w:before="200" w:line-rule="auto"/>
        <w:ind w:firstLine="540"/>
        <w:jc w:val="both"/>
      </w:pPr>
      <w:r>
        <w:rPr>
          <w:sz w:val="20"/>
        </w:rPr>
        <w:t xml:space="preserve">2.22.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history="0" w:anchor="P2381" w:tooltip="1.3. Субсидии предоставляются на финансовое обеспечение государственной поддержки проектов, направленных на развитие инфраструктуры туризма на территории Ленинградской области, по следующим направлениям:">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bookmarkStart w:id="2601" w:name="P2601"/>
    <w:bookmarkEnd w:id="2601"/>
    <w:p>
      <w:pPr>
        <w:pStyle w:val="0"/>
        <w:spacing w:before="200" w:line-rule="auto"/>
        <w:ind w:firstLine="540"/>
        <w:jc w:val="both"/>
      </w:pPr>
      <w:r>
        <w:rPr>
          <w:sz w:val="20"/>
        </w:rPr>
        <w:t xml:space="preserve">2.23. Планируемым результатом использования субсидии является количество предпринимательских инициатив, направленных на развитие инфраструктуры туризма.</w:t>
      </w:r>
    </w:p>
    <w:bookmarkStart w:id="2602" w:name="P2602"/>
    <w:bookmarkEnd w:id="2602"/>
    <w:p>
      <w:pPr>
        <w:pStyle w:val="0"/>
        <w:spacing w:before="200" w:line-rule="auto"/>
        <w:ind w:firstLine="540"/>
        <w:jc w:val="both"/>
      </w:pPr>
      <w:r>
        <w:rPr>
          <w:sz w:val="20"/>
        </w:rPr>
        <w:t xml:space="preserve">2.24. Показателем, необходимым для достижения результата предоставления субсидии, является количество реализованных проектов.</w:t>
      </w:r>
    </w:p>
    <w:p>
      <w:pPr>
        <w:pStyle w:val="0"/>
        <w:spacing w:before="200" w:line-rule="auto"/>
        <w:ind w:firstLine="540"/>
        <w:jc w:val="both"/>
      </w:pPr>
      <w:r>
        <w:rPr>
          <w:sz w:val="20"/>
        </w:rPr>
        <w:t xml:space="preserve">Значение показателя устанавливается комитетом в соглашении.</w:t>
      </w:r>
    </w:p>
    <w:p>
      <w:pPr>
        <w:pStyle w:val="0"/>
        <w:spacing w:before="200" w:line-rule="auto"/>
        <w:ind w:firstLine="540"/>
        <w:jc w:val="both"/>
      </w:pPr>
      <w:r>
        <w:rPr>
          <w:sz w:val="20"/>
        </w:rPr>
        <w:t xml:space="preserve">2.25. Перечисление субсидии осуществляется Комитетом финансов Ленинградской области на основании заявки на расход, представленной комитетом, в соответствии с условиями соглашения на:</w:t>
      </w:r>
    </w:p>
    <w:p>
      <w:pPr>
        <w:pStyle w:val="0"/>
        <w:spacing w:before="200" w:line-rule="auto"/>
        <w:ind w:firstLine="540"/>
        <w:jc w:val="both"/>
      </w:pPr>
      <w:r>
        <w:rPr>
          <w:sz w:val="20"/>
        </w:rPr>
        <w:t xml:space="preserve">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случае если средства не подлежат казначейскому сопровождению в соответствии с бюджетным законодательством Российской Федерации и Ленинградской области;</w:t>
      </w:r>
    </w:p>
    <w:p>
      <w:pPr>
        <w:pStyle w:val="0"/>
        <w:spacing w:before="200" w:line-rule="auto"/>
        <w:ind w:firstLine="540"/>
        <w:jc w:val="both"/>
      </w:pPr>
      <w:r>
        <w:rPr>
          <w:sz w:val="20"/>
        </w:rPr>
        <w:t xml:space="preserve">лицевые счета, открытые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 в случае если средства подлежат казначейскому сопровождению в соответствии с бюджетным законодательством.</w:t>
      </w:r>
    </w:p>
    <w:p>
      <w:pPr>
        <w:pStyle w:val="0"/>
        <w:spacing w:before="200" w:line-rule="auto"/>
        <w:ind w:firstLine="540"/>
        <w:jc w:val="both"/>
      </w:pPr>
      <w:r>
        <w:rPr>
          <w:sz w:val="20"/>
        </w:rPr>
        <w:t xml:space="preserve">В случае если средства субсидий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ind w:firstLine="540"/>
        <w:jc w:val="both"/>
      </w:pPr>
      <w:r>
        <w:rPr>
          <w:sz w:val="20"/>
        </w:rPr>
      </w:r>
    </w:p>
    <w:p>
      <w:pPr>
        <w:pStyle w:val="2"/>
        <w:outlineLvl w:val="2"/>
        <w:jc w:val="center"/>
      </w:pPr>
      <w:r>
        <w:rPr>
          <w:sz w:val="20"/>
        </w:rPr>
        <w:t xml:space="preserve">3. Требования к отчетности</w:t>
      </w:r>
    </w:p>
    <w:p>
      <w:pPr>
        <w:pStyle w:val="0"/>
        <w:jc w:val="center"/>
      </w:pPr>
      <w:r>
        <w:rPr>
          <w:sz w:val="20"/>
        </w:rPr>
      </w:r>
    </w:p>
    <w:p>
      <w:pPr>
        <w:pStyle w:val="0"/>
        <w:ind w:firstLine="540"/>
        <w:jc w:val="both"/>
      </w:pPr>
      <w:r>
        <w:rPr>
          <w:sz w:val="20"/>
        </w:rPr>
        <w:t xml:space="preserve">3.1.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history="0" w:anchor="P2601" w:tooltip="2.23. Планируемым результатом использования субсидии является количество предпринимательских инициатив, направленных на развитие инфраструктуры туризма.">
        <w:r>
          <w:rPr>
            <w:sz w:val="20"/>
            <w:color w:val="0000ff"/>
          </w:rPr>
          <w:t xml:space="preserve">пунктами 2.23</w:t>
        </w:r>
      </w:hyperlink>
      <w:r>
        <w:rPr>
          <w:sz w:val="20"/>
        </w:rPr>
        <w:t xml:space="preserve"> и </w:t>
      </w:r>
      <w:hyperlink w:history="0" w:anchor="P2602" w:tooltip="2.24. Показателем, необходимым для достижения результата предоставления субсидии, является количество реализованных проектов.">
        <w:r>
          <w:rPr>
            <w:sz w:val="20"/>
            <w:color w:val="0000ff"/>
          </w:rPr>
          <w:t xml:space="preserve">2.24</w:t>
        </w:r>
      </w:hyperlink>
      <w:r>
        <w:rPr>
          <w:sz w:val="20"/>
        </w:rP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Министерства финансов Российской Федерации.</w:t>
      </w:r>
    </w:p>
    <w:p>
      <w:pPr>
        <w:pStyle w:val="0"/>
        <w:spacing w:before="200" w:line-rule="auto"/>
        <w:ind w:firstLine="540"/>
        <w:jc w:val="both"/>
      </w:pPr>
      <w:r>
        <w:rPr>
          <w:sz w:val="20"/>
        </w:rPr>
        <w:t xml:space="preserve">3.2. Сроки предоставления и формы дополнительной отчетности устанавливаются в соглашении.</w:t>
      </w:r>
    </w:p>
    <w:p>
      <w:pPr>
        <w:pStyle w:val="0"/>
        <w:jc w:val="center"/>
      </w:pPr>
      <w:r>
        <w:rPr>
          <w:sz w:val="20"/>
        </w:rPr>
      </w:r>
    </w:p>
    <w:p>
      <w:pPr>
        <w:pStyle w:val="2"/>
        <w:outlineLvl w:val="2"/>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4.1.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органом государственного финансового контроля Ленинградской области осуществляется проверка в соответствии со </w:t>
      </w:r>
      <w:hyperlink w:history="0" r:id="rId14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4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2619" w:name="P2619"/>
    <w:bookmarkEnd w:id="2619"/>
    <w:p>
      <w:pPr>
        <w:pStyle w:val="0"/>
        <w:spacing w:before="200" w:line-rule="auto"/>
        <w:ind w:firstLine="540"/>
        <w:jc w:val="both"/>
      </w:pPr>
      <w:r>
        <w:rPr>
          <w:sz w:val="20"/>
        </w:rPr>
        <w:t xml:space="preserve">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целей, порядка предоставления субсидии и заключенного Соглашения, а также недостижения значений показателей результатов предоставления субсидии соответствующие средства подлежат возврату в доход областного бюджета Ленинградской области:</w:t>
      </w:r>
    </w:p>
    <w:p>
      <w:pPr>
        <w:pStyle w:val="0"/>
        <w:spacing w:before="200" w:line-rule="auto"/>
        <w:ind w:firstLine="540"/>
        <w:jc w:val="both"/>
      </w:pPr>
      <w:r>
        <w:rPr>
          <w:sz w:val="20"/>
        </w:rPr>
        <w:t xml:space="preserve">на основании письменного требования Комитета - не позднее 10 рабочих дней с даты получения получателем субсидии указанного требования;</w:t>
      </w:r>
    </w:p>
    <w:p>
      <w:pPr>
        <w:pStyle w:val="0"/>
        <w:spacing w:before="200" w:line-rule="auto"/>
        <w:ind w:firstLine="540"/>
        <w:jc w:val="both"/>
      </w:pPr>
      <w:r>
        <w:rPr>
          <w:sz w:val="20"/>
        </w:rPr>
        <w:t xml:space="preserve">в сроки, установленные в представлении и(или) предписании органа государственного финансового контроля.</w:t>
      </w:r>
    </w:p>
    <w:p>
      <w:pPr>
        <w:pStyle w:val="0"/>
        <w:spacing w:before="200" w:line-rule="auto"/>
        <w:ind w:firstLine="540"/>
        <w:jc w:val="both"/>
      </w:pPr>
      <w:r>
        <w:rPr>
          <w:sz w:val="20"/>
        </w:rPr>
        <w:t xml:space="preserve">4.3. В случае неперечисления получателем субсидии средств субсидии в областной бюджет в сроки, установленные </w:t>
      </w:r>
      <w:hyperlink w:history="0" w:anchor="P2619" w:tooltip="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целей, порядка предоставления субсидии и заключенного Соглашения, а также недостижения значений показателей результатов предоставления субсидии соответствующие средства подлежат возврату в доход областного бюджета Ленинградской области:">
        <w:r>
          <w:rPr>
            <w:sz w:val="20"/>
            <w:color w:val="0000ff"/>
          </w:rPr>
          <w:t xml:space="preserve">пунктом 4.2</w:t>
        </w:r>
      </w:hyperlink>
      <w:r>
        <w:rPr>
          <w:sz w:val="20"/>
        </w:rPr>
        <w:t xml:space="preserve"> настоящего Порядка, взыскание денежных средств осуществляется в судебном порядке.</w:t>
      </w:r>
    </w:p>
    <w:p>
      <w:pPr>
        <w:pStyle w:val="0"/>
        <w:spacing w:before="200" w:line-rule="auto"/>
        <w:ind w:firstLine="540"/>
        <w:jc w:val="both"/>
      </w:pPr>
      <w:r>
        <w:rPr>
          <w:sz w:val="20"/>
        </w:rPr>
        <w:t xml:space="preserve">4.4. Возврат остатков субсидии, по которым принято решение о возврате, осуществляется получателем субсидии в порядке и сроки, установленные в соглашении, но не позднее 1 апреля текущего финансового года.</w:t>
      </w:r>
    </w:p>
    <w:p>
      <w:pPr>
        <w:pStyle w:val="0"/>
        <w:spacing w:before="200" w:line-rule="auto"/>
        <w:ind w:firstLine="540"/>
        <w:jc w:val="both"/>
      </w:pPr>
      <w:r>
        <w:rPr>
          <w:sz w:val="20"/>
        </w:rPr>
        <w:t xml:space="preserve">4.5.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30.09.2019 N 442</w:t>
            <w:br/>
            <w:t>(ред. от 24.08.2023)</w:t>
            <w:br/>
            <w:t>"О государственной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30.09.2019 N 442</w:t>
            <w:br/>
            <w:t>(ред. от 24.08.2023)</w:t>
            <w:br/>
            <w:t>"О государственной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66534A832BD4E471B107463418F287194C2B1E8790FCC3A53A16AD75B5DD4715AE6322903A52531063221BAC61382A24694C800177D2F9NDpBH" TargetMode = "External"/>
	<Relationship Id="rId8" Type="http://schemas.openxmlformats.org/officeDocument/2006/relationships/hyperlink" Target="consultantplus://offline/ref=5E66534A832BD4E471B107463418F287194D28198290FCC3A53A16AD75B5DD4715AE6322903A52531063221BAC61382A24694C800177D2F9NDpBH" TargetMode = "External"/>
	<Relationship Id="rId9" Type="http://schemas.openxmlformats.org/officeDocument/2006/relationships/hyperlink" Target="consultantplus://offline/ref=5E66534A832BD4E471B107463418F287194D261A8E90FCC3A53A16AD75B5DD4715AE6322903A52531063221BAC61382A24694C800177D2F9NDpBH" TargetMode = "External"/>
	<Relationship Id="rId10" Type="http://schemas.openxmlformats.org/officeDocument/2006/relationships/hyperlink" Target="consultantplus://offline/ref=5E66534A832BD4E471B107463418F287194A2910849FFCC3A53A16AD75B5DD4715AE6322903A52531063221BAC61382A24694C800177D2F9NDpBH" TargetMode = "External"/>
	<Relationship Id="rId11" Type="http://schemas.openxmlformats.org/officeDocument/2006/relationships/hyperlink" Target="consultantplus://offline/ref=5E66534A832BD4E471B107463418F287194B2E1C8F90FCC3A53A16AD75B5DD4715AE6322903A52531063221BAC61382A24694C800177D2F9NDpBH" TargetMode = "External"/>
	<Relationship Id="rId12" Type="http://schemas.openxmlformats.org/officeDocument/2006/relationships/hyperlink" Target="consultantplus://offline/ref=5E66534A832BD4E471B107463418F287194B2C1C879EFCC3A53A16AD75B5DD4715AE6322903A52531063221BAC61382A24694C800177D2F9NDpBH" TargetMode = "External"/>
	<Relationship Id="rId13" Type="http://schemas.openxmlformats.org/officeDocument/2006/relationships/hyperlink" Target="consultantplus://offline/ref=5E66534A832BD4E471B107463418F287194B261C8095FCC3A53A16AD75B5DD4715AE6322903A52531063221BAC61382A24694C800177D2F9NDpBH" TargetMode = "External"/>
	<Relationship Id="rId14" Type="http://schemas.openxmlformats.org/officeDocument/2006/relationships/hyperlink" Target="consultantplus://offline/ref=5E66534A832BD4E471B107463418F2871948291B869EFCC3A53A16AD75B5DD4715AE6322903A52531063221BAC61382A24694C800177D2F9NDpBH" TargetMode = "External"/>
	<Relationship Id="rId15" Type="http://schemas.openxmlformats.org/officeDocument/2006/relationships/hyperlink" Target="consultantplus://offline/ref=5E66534A832BD4E471B107463418F2871948291C8094FCC3A53A16AD75B5DD4715AE6322903A52531063221BAC61382A24694C800177D2F9NDpBH" TargetMode = "External"/>
	<Relationship Id="rId16" Type="http://schemas.openxmlformats.org/officeDocument/2006/relationships/hyperlink" Target="consultantplus://offline/ref=5E66534A832BD4E471B107463418F28719492F1B8190FCC3A53A16AD75B5DD4715AE6322903A52531063221BAC61382A24694C800177D2F9NDpBH" TargetMode = "External"/>
	<Relationship Id="rId17" Type="http://schemas.openxmlformats.org/officeDocument/2006/relationships/hyperlink" Target="consultantplus://offline/ref=5E66534A832BD4E471B107463418F28719492B1F8F95FCC3A53A16AD75B5DD4715AE6322903A52531063221BAC61382A24694C800177D2F9NDpBH" TargetMode = "External"/>
	<Relationship Id="rId18" Type="http://schemas.openxmlformats.org/officeDocument/2006/relationships/hyperlink" Target="consultantplus://offline/ref=5E66534A832BD4E471B107463418F2871949261E869EFCC3A53A16AD75B5DD4715AE6322903A52531063221BAC61382A24694C800177D2F9NDpBH" TargetMode = "External"/>
	<Relationship Id="rId19" Type="http://schemas.openxmlformats.org/officeDocument/2006/relationships/hyperlink" Target="consultantplus://offline/ref=5E66534A832BD4E471B107463418F28719492E1E8093FCC3A53A16AD75B5DD4715AE6322903A52541663221BAC61382A24694C800177D2F9NDpBH" TargetMode = "External"/>
	<Relationship Id="rId20" Type="http://schemas.openxmlformats.org/officeDocument/2006/relationships/hyperlink" Target="consultantplus://offline/ref=5E66534A832BD4E471B107463418F287194C2F188791FCC3A53A16AD75B5DD4707AE3B2E933A4C521476744AEAN3p7H" TargetMode = "External"/>
	<Relationship Id="rId21" Type="http://schemas.openxmlformats.org/officeDocument/2006/relationships/hyperlink" Target="consultantplus://offline/ref=5E66534A832BD4E471B107463418F28719482E118E90FCC3A53A16AD75B5DD4715AE6322903A50551063221BAC61382A24694C800177D2F9NDpBH" TargetMode = "External"/>
	<Relationship Id="rId22" Type="http://schemas.openxmlformats.org/officeDocument/2006/relationships/hyperlink" Target="consultantplus://offline/ref=5E66534A832BD4E471B107463418F28719462D198595FCC3A53A16AD75B5DD4707AE3B2E933A4C521476744AEAN3p7H" TargetMode = "External"/>
	<Relationship Id="rId23" Type="http://schemas.openxmlformats.org/officeDocument/2006/relationships/hyperlink" Target="consultantplus://offline/ref=5E66534A832BD4E471B107463418F287194B2C1C879EFCC3A53A16AD75B5DD4715AE6322903A52531063221BAC61382A24694C800177D2F9NDpBH" TargetMode = "External"/>
	<Relationship Id="rId24" Type="http://schemas.openxmlformats.org/officeDocument/2006/relationships/hyperlink" Target="consultantplus://offline/ref=5E66534A832BD4E471B107463418F287194B261C8095FCC3A53A16AD75B5DD4715AE6322903A52531063221BAC61382A24694C800177D2F9NDpBH" TargetMode = "External"/>
	<Relationship Id="rId25" Type="http://schemas.openxmlformats.org/officeDocument/2006/relationships/hyperlink" Target="consultantplus://offline/ref=5E66534A832BD4E471B107463418F2871948291B869EFCC3A53A16AD75B5DD4715AE6322903A52531063221BAC61382A24694C800177D2F9NDpBH" TargetMode = "External"/>
	<Relationship Id="rId26" Type="http://schemas.openxmlformats.org/officeDocument/2006/relationships/hyperlink" Target="consultantplus://offline/ref=5E66534A832BD4E471B107463418F2871948291C8094FCC3A53A16AD75B5DD4715AE6322903A52531063221BAC61382A24694C800177D2F9NDpBH" TargetMode = "External"/>
	<Relationship Id="rId27" Type="http://schemas.openxmlformats.org/officeDocument/2006/relationships/hyperlink" Target="consultantplus://offline/ref=5E66534A832BD4E471B107463418F28719492F1B8190FCC3A53A16AD75B5DD4715AE6322903A52531063221BAC61382A24694C800177D2F9NDpBH" TargetMode = "External"/>
	<Relationship Id="rId28" Type="http://schemas.openxmlformats.org/officeDocument/2006/relationships/hyperlink" Target="consultantplus://offline/ref=5E66534A832BD4E471B107463418F28719492B1F8F95FCC3A53A16AD75B5DD4715AE6322903A52531063221BAC61382A24694C800177D2F9NDpBH" TargetMode = "External"/>
	<Relationship Id="rId29" Type="http://schemas.openxmlformats.org/officeDocument/2006/relationships/hyperlink" Target="consultantplus://offline/ref=5E66534A832BD4E471B107463418F2871949261E869EFCC3A53A16AD75B5DD4715AE6322903A52531063221BAC61382A24694C800177D2F9NDpBH" TargetMode = "External"/>
	<Relationship Id="rId30" Type="http://schemas.openxmlformats.org/officeDocument/2006/relationships/hyperlink" Target="consultantplus://offline/ref=5E66534A832BD4E471B107463418F2871948291C8094FCC3A53A16AD75B5DD4715AE6322903A52521763221BAC61382A24694C800177D2F9NDpBH" TargetMode = "External"/>
	<Relationship Id="rId31" Type="http://schemas.openxmlformats.org/officeDocument/2006/relationships/hyperlink" Target="consultantplus://offline/ref=5E66534A832BD4E471B107463418F287194B261C8095FCC3A53A16AD75B5DD4715AE6322903A52521763221BAC61382A24694C800177D2F9NDpBH" TargetMode = "External"/>
	<Relationship Id="rId32" Type="http://schemas.openxmlformats.org/officeDocument/2006/relationships/hyperlink" Target="consultantplus://offline/ref=5E66534A832BD4E471B107463418F2871948291C8094FCC3A53A16AD75B5DD4715AE6322903A52521263221BAC61382A24694C800177D2F9NDpBH" TargetMode = "External"/>
	<Relationship Id="rId33" Type="http://schemas.openxmlformats.org/officeDocument/2006/relationships/hyperlink" Target="consultantplus://offline/ref=5E66534A832BD4E471B107463418F2871949261E869EFCC3A53A16AD75B5DD4715AE6322903A52521463221BAC61382A24694C800177D2F9NDpBH" TargetMode = "External"/>
	<Relationship Id="rId34" Type="http://schemas.openxmlformats.org/officeDocument/2006/relationships/hyperlink" Target="consultantplus://offline/ref=5E66534A832BD4E471B107463418F2871948291C8094FCC3A53A16AD75B5DD4715AE6322903A52501563221BAC61382A24694C800177D2F9NDpBH" TargetMode = "External"/>
	<Relationship Id="rId35" Type="http://schemas.openxmlformats.org/officeDocument/2006/relationships/hyperlink" Target="consultantplus://offline/ref=5E66534A832BD4E471B107463418F2871948291C8094FCC3A53A16AD75B5DD4715AE6322903A52501263221BAC61382A24694C800177D2F9NDpBH" TargetMode = "External"/>
	<Relationship Id="rId36" Type="http://schemas.openxmlformats.org/officeDocument/2006/relationships/hyperlink" Target="consultantplus://offline/ref=5E66534A832BD4E471B107463418F28719492F1B8190FCC3A53A16AD75B5DD4715AE6322903A52511563221BAC61382A24694C800177D2F9NDpBH" TargetMode = "External"/>
	<Relationship Id="rId37" Type="http://schemas.openxmlformats.org/officeDocument/2006/relationships/hyperlink" Target="consultantplus://offline/ref=5E66534A832BD4E471B118572118F2871F4A271C8093FCC3A53A16AD75B5DD4707AE3B2E933A4C521476744AEAN3p7H" TargetMode = "External"/>
	<Relationship Id="rId38" Type="http://schemas.openxmlformats.org/officeDocument/2006/relationships/hyperlink" Target="consultantplus://offline/ref=5E66534A832BD4E471B118572118F2871F482F188790FCC3A53A16AD75B5DD4707AE3B2E933A4C521476744AEAN3p7H" TargetMode = "External"/>
	<Relationship Id="rId39" Type="http://schemas.openxmlformats.org/officeDocument/2006/relationships/hyperlink" Target="consultantplus://offline/ref=5E66534A832BD4E471B107463418F2871948291C8094FCC3A53A16AD75B5DD4715AE6322903A525B1063221BAC61382A24694C800177D2F9NDpBH" TargetMode = "External"/>
	<Relationship Id="rId40" Type="http://schemas.openxmlformats.org/officeDocument/2006/relationships/hyperlink" Target="consultantplus://offline/ref=5E66534A832BD4E471B107463418F2871948291C8094FCC3A53A16AD75B5DD4715AE6322903A525B1263221BAC61382A24694C800177D2F9NDpBH" TargetMode = "External"/>
	<Relationship Id="rId41" Type="http://schemas.openxmlformats.org/officeDocument/2006/relationships/hyperlink" Target="consultantplus://offline/ref=5E66534A832BD4E471B118572118F287184B29108490FCC3A53A16AD75B5DD4707AE3B2E933A4C521476744AEAN3p7H" TargetMode = "External"/>
	<Relationship Id="rId42" Type="http://schemas.openxmlformats.org/officeDocument/2006/relationships/hyperlink" Target="consultantplus://offline/ref=5E66534A832BD4E471B118572118F2871F4E27188397FCC3A53A16AD75B5DD4715AE6322903A52521763221BAC61382A24694C800177D2F9NDpBH" TargetMode = "External"/>
	<Relationship Id="rId43" Type="http://schemas.openxmlformats.org/officeDocument/2006/relationships/hyperlink" Target="consultantplus://offline/ref=5E66534A832BD4E471B118572118F2871F4B2C1B8697FCC3A53A16AD75B5DD4715AE6322903A52521563221BAC61382A24694C800177D2F9NDpBH" TargetMode = "External"/>
	<Relationship Id="rId44" Type="http://schemas.openxmlformats.org/officeDocument/2006/relationships/hyperlink" Target="consultantplus://offline/ref=5E66534A832BD4E471B107463418F287194C2F188791FCC3A53A16AD75B5DD4715AE6322903B50511163221BAC61382A24694C800177D2F9NDpBH" TargetMode = "External"/>
	<Relationship Id="rId45" Type="http://schemas.openxmlformats.org/officeDocument/2006/relationships/hyperlink" Target="consultantplus://offline/ref=5E66534A832BD4E471B107463418F287194B261C8095FCC3A53A16AD75B5DD4715AE6322903A52501763221BAC61382A24694C800177D2F9NDpBH" TargetMode = "External"/>
	<Relationship Id="rId46" Type="http://schemas.openxmlformats.org/officeDocument/2006/relationships/hyperlink" Target="consultantplus://offline/ref=5E66534A832BD4E471B118572118F2871F4D2B1F869FFCC3A53A16AD75B5DD4715AE6322903A52531C63221BAC61382A24694C800177D2F9NDpBH" TargetMode = "External"/>
	<Relationship Id="rId47" Type="http://schemas.openxmlformats.org/officeDocument/2006/relationships/hyperlink" Target="consultantplus://offline/ref=5E66534A832BD4E471B107463418F2871949261E869EFCC3A53A16AD75B5DD4715AE6322903A52521763221BAC61382A24694C800177D2F9NDpBH" TargetMode = "External"/>
	<Relationship Id="rId48" Type="http://schemas.openxmlformats.org/officeDocument/2006/relationships/hyperlink" Target="consultantplus://offline/ref=5E66534A832BD4E471B107463418F28719492B1F8F95FCC3A53A16AD75B5DD4715AE6322903A52511563221BAC61382A24694C800177D2F9NDpBH" TargetMode = "External"/>
	<Relationship Id="rId49" Type="http://schemas.openxmlformats.org/officeDocument/2006/relationships/hyperlink" Target="consultantplus://offline/ref=5E66534A832BD4E471B107463418F287194B261C8095FCC3A53A16AD75B5DD4715AE6322903A52501D63221BAC61382A24694C800177D2F9NDpBH" TargetMode = "External"/>
	<Relationship Id="rId50" Type="http://schemas.openxmlformats.org/officeDocument/2006/relationships/hyperlink" Target="consultantplus://offline/ref=5E66534A832BD4E471B107463418F2871948291C8094FCC3A53A16AD75B5DD4715AE6322903A525A1563221BAC61382A24694C800177D2F9NDpBH" TargetMode = "External"/>
	<Relationship Id="rId51" Type="http://schemas.openxmlformats.org/officeDocument/2006/relationships/hyperlink" Target="consultantplus://offline/ref=5E66534A832BD4E471B107463418F2871948291C8094FCC3A53A16AD75B5DD4715AE6322903A525A1763221BAC61382A24694C800177D2F9NDpBH" TargetMode = "External"/>
	<Relationship Id="rId52" Type="http://schemas.openxmlformats.org/officeDocument/2006/relationships/hyperlink" Target="consultantplus://offline/ref=5E66534A832BD4E471B107463418F2871948291C8094FCC3A53A16AD75B5DD4715AE6322903A525A1163221BAC61382A24694C800177D2F9NDpBH" TargetMode = "External"/>
	<Relationship Id="rId53" Type="http://schemas.openxmlformats.org/officeDocument/2006/relationships/hyperlink" Target="consultantplus://offline/ref=5E66534A832BD4E471B107463418F2871948291C8094FCC3A53A16AD75B5DD4715AE6322903A525A1363221BAC61382A24694C800177D2F9NDpBH" TargetMode = "External"/>
	<Relationship Id="rId54" Type="http://schemas.openxmlformats.org/officeDocument/2006/relationships/hyperlink" Target="consultantplus://offline/ref=5E66534A832BD4E471B107463418F2871948291C8094FCC3A53A16AD75B5DD4715AE6322903A525A1363221BAC61382A24694C800177D2F9NDpBH" TargetMode = "External"/>
	<Relationship Id="rId55" Type="http://schemas.openxmlformats.org/officeDocument/2006/relationships/hyperlink" Target="consultantplus://offline/ref=5E66534A832BD4E471B107463418F2871948291C8094FCC3A53A16AD75B5DD4715AE6322903A525A1363221BAC61382A24694C800177D2F9NDpBH" TargetMode = "External"/>
	<Relationship Id="rId56" Type="http://schemas.openxmlformats.org/officeDocument/2006/relationships/hyperlink" Target="consultantplus://offline/ref=5E66534A832BD4E471B107463418F2871948291C8094FCC3A53A16AD75B5DD4715AE6322903A525A1263221BAC61382A24694C800177D2F9NDpBH" TargetMode = "External"/>
	<Relationship Id="rId57" Type="http://schemas.openxmlformats.org/officeDocument/2006/relationships/hyperlink" Target="consultantplus://offline/ref=5E66534A832BD4E471B107463418F2871948291C8094FCC3A53A16AD75B5DD4715AE6322903A525A1C63221BAC61382A24694C800177D2F9NDpBH" TargetMode = "External"/>
	<Relationship Id="rId58" Type="http://schemas.openxmlformats.org/officeDocument/2006/relationships/hyperlink" Target="consultantplus://offline/ref=5E66534A832BD4E471B107463418F28719492B1F8F95FCC3A53A16AD75B5DD4715AE6322903A52501463221BAC61382A24694C800177D2F9NDpBH" TargetMode = "External"/>
	<Relationship Id="rId59" Type="http://schemas.openxmlformats.org/officeDocument/2006/relationships/hyperlink" Target="consultantplus://offline/ref=5E66534A832BD4E471B107463418F2871948291C8094FCC3A53A16AD75B5DD4715AE6322903A53531463221BAC61382A24694C800177D2F9NDpBH" TargetMode = "External"/>
	<Relationship Id="rId60" Type="http://schemas.openxmlformats.org/officeDocument/2006/relationships/hyperlink" Target="consultantplus://offline/ref=5E66534A832BD4E471B107463418F2871948291C8094FCC3A53A16AD75B5DD4715AE6322903A53531063221BAC61382A24694C800177D2F9NDpBH" TargetMode = "External"/>
	<Relationship Id="rId61" Type="http://schemas.openxmlformats.org/officeDocument/2006/relationships/hyperlink" Target="consultantplus://offline/ref=5E66534A832BD4E471B107463418F2871948291C8094FCC3A53A16AD75B5DD4715AE6322903A53531C63221BAC61382A24694C800177D2F9NDpBH" TargetMode = "External"/>
	<Relationship Id="rId62" Type="http://schemas.openxmlformats.org/officeDocument/2006/relationships/hyperlink" Target="consultantplus://offline/ref=5E66534A832BD4E471B107463418F28719492F1B8190FCC3A53A16AD75B5DD4715AE6322903A52511663221BAC61382A24694C800177D2F9NDpBH" TargetMode = "External"/>
	<Relationship Id="rId63" Type="http://schemas.openxmlformats.org/officeDocument/2006/relationships/hyperlink" Target="consultantplus://offline/ref=5E66534A832BD4E471B107463418F28719492F1B8190FCC3A53A16AD75B5DD4715AE6322903A52511163221BAC61382A24694C800177D2F9NDpBH" TargetMode = "External"/>
	<Relationship Id="rId64" Type="http://schemas.openxmlformats.org/officeDocument/2006/relationships/hyperlink" Target="consultantplus://offline/ref=5E66534A832BD4E471B107463418F28719492F1B8190FCC3A53A16AD75B5DD4715AE6322903A52511363221BAC61382A24694C800177D2F9NDpBH" TargetMode = "External"/>
	<Relationship Id="rId65" Type="http://schemas.openxmlformats.org/officeDocument/2006/relationships/hyperlink" Target="consultantplus://offline/ref=5E66534A832BD4E471B107463418F28719492F1B8190FCC3A53A16AD75B5DD4715AE6322903A52511263221BAC61382A24694C800177D2F9NDpBH" TargetMode = "External"/>
	<Relationship Id="rId66" Type="http://schemas.openxmlformats.org/officeDocument/2006/relationships/hyperlink" Target="consultantplus://offline/ref=5E66534A832BD4E471B107463418F2871948291C8094FCC3A53A16AD75B5DD4715AE6322903A53521563221BAC61382A24694C800177D2F9NDpBH" TargetMode = "External"/>
	<Relationship Id="rId67" Type="http://schemas.openxmlformats.org/officeDocument/2006/relationships/hyperlink" Target="consultantplus://offline/ref=5E66534A832BD4E471B107463418F28719492B1F8F95FCC3A53A16AD75B5DD4715AE6322903A52501363221BAC61382A24694C800177D2F9NDpBH" TargetMode = "External"/>
	<Relationship Id="rId68" Type="http://schemas.openxmlformats.org/officeDocument/2006/relationships/header" Target="header2.xml"/>
	<Relationship Id="rId69" Type="http://schemas.openxmlformats.org/officeDocument/2006/relationships/footer" Target="footer2.xml"/>
	<Relationship Id="rId70" Type="http://schemas.openxmlformats.org/officeDocument/2006/relationships/hyperlink" Target="consultantplus://offline/ref=5E66534A832BD4E471B107463418F2871948291C8094FCC3A53A16AD75B5DD4715AE6322903A51511363221BAC61382A24694C800177D2F9NDpBH" TargetMode = "External"/>
	<Relationship Id="rId71" Type="http://schemas.openxmlformats.org/officeDocument/2006/relationships/hyperlink" Target="consultantplus://offline/ref=5E66534A832BD4E471B107463418F2871949261E869EFCC3A53A16AD75B5DD4715AE6322903A52521063221BAC61382A24694C800177D2F9NDpBH" TargetMode = "External"/>
	<Relationship Id="rId72" Type="http://schemas.openxmlformats.org/officeDocument/2006/relationships/hyperlink" Target="consultantplus://offline/ref=5E66534A832BD4E471B107463418F2871949261E869EFCC3A53A16AD75B5DD4715AE6322903A52571363221BAC61382A24694C800177D2F9NDpBH" TargetMode = "External"/>
	<Relationship Id="rId73" Type="http://schemas.openxmlformats.org/officeDocument/2006/relationships/hyperlink" Target="consultantplus://offline/ref=5E66534A832BD4E471B107463418F2871949261E869EFCC3A53A16AD75B5DD4715AE6322903A52541763221BAC61382A24694C800177D2F9NDpBH" TargetMode = "External"/>
	<Relationship Id="rId74" Type="http://schemas.openxmlformats.org/officeDocument/2006/relationships/hyperlink" Target="consultantplus://offline/ref=5E66534A832BD4E471B107463418F28719492F1B8190FCC3A53A16AD75B5DD4715AE6322903A52561063221BAC61382A24694C800177D2F9NDpBH" TargetMode = "External"/>
	<Relationship Id="rId75" Type="http://schemas.openxmlformats.org/officeDocument/2006/relationships/hyperlink" Target="consultantplus://offline/ref=5E66534A832BD4E471B107463418F28719492B1F8F95FCC3A53A16AD75B5DD4715AE6322903A51531663221BAC61382A24694C800177D2F9NDpBH" TargetMode = "External"/>
	<Relationship Id="rId76" Type="http://schemas.openxmlformats.org/officeDocument/2006/relationships/hyperlink" Target="consultantplus://offline/ref=5E66534A832BD4E471B107463418F28719492B1F8F95FCC3A53A16AD75B5DD4715AE6322903A51511163221BAC61382A24694C800177D2F9NDpBH" TargetMode = "External"/>
	<Relationship Id="rId77" Type="http://schemas.openxmlformats.org/officeDocument/2006/relationships/hyperlink" Target="consultantplus://offline/ref=5E66534A832BD4E471B107463418F2871948291C8094FCC3A53A16AD75B5DD4715AE6322903A565A1463221BAC61382A24694C800177D2F9NDpBH" TargetMode = "External"/>
	<Relationship Id="rId78" Type="http://schemas.openxmlformats.org/officeDocument/2006/relationships/hyperlink" Target="consultantplus://offline/ref=5E66534A832BD4E471B107463418F28719462D188296FCC3A53A16AD75B5DD4715AE632590310602513D7B49E82A34283A754D83N1pCH" TargetMode = "External"/>
	<Relationship Id="rId79" Type="http://schemas.openxmlformats.org/officeDocument/2006/relationships/hyperlink" Target="consultantplus://offline/ref=5E66534A832BD4E471B107463418F28719462D188296FCC3A53A16AD75B5DD4715AE6322903B5907442C2347EB342B2825694F811DN7p6H" TargetMode = "External"/>
	<Relationship Id="rId80" Type="http://schemas.openxmlformats.org/officeDocument/2006/relationships/hyperlink" Target="consultantplus://offline/ref=5E66534A832BD4E471B107463418F28719462D188296FCC3A53A16AD75B5DD4715AE632290385907442C2347EB342B2825694F811DN7p6H" TargetMode = "External"/>
	<Relationship Id="rId81" Type="http://schemas.openxmlformats.org/officeDocument/2006/relationships/hyperlink" Target="consultantplus://offline/ref=5E66534A832BD4E471B107463418F2871948291C8094FCC3A53A16AD75B5DD4715AE6322903A57561563221BAC61382A24694C800177D2F9NDpBH" TargetMode = "External"/>
	<Relationship Id="rId82" Type="http://schemas.openxmlformats.org/officeDocument/2006/relationships/hyperlink" Target="consultantplus://offline/ref=5E66534A832BD4E471B107463418F28719492F1B8190FCC3A53A16AD75B5DD4715AE6322903A52541163221BAC61382A24694C800177D2F9NDpBH" TargetMode = "External"/>
	<Relationship Id="rId83" Type="http://schemas.openxmlformats.org/officeDocument/2006/relationships/hyperlink" Target="consultantplus://offline/ref=5E66534A832BD4E471B107463418F2871948291C8094FCC3A53A16AD75B5DD4715AE6322903A57561563221BAC61382A24694C800177D2F9NDpBH" TargetMode = "External"/>
	<Relationship Id="rId84" Type="http://schemas.openxmlformats.org/officeDocument/2006/relationships/hyperlink" Target="consultantplus://offline/ref=5E66534A832BD4E471B118572118F2871F482F188790FCC3A53A16AD75B5DD4715AE632A993C5907442C2347EB342B2825694F811DN7p6H" TargetMode = "External"/>
	<Relationship Id="rId85" Type="http://schemas.openxmlformats.org/officeDocument/2006/relationships/hyperlink" Target="consultantplus://offline/ref=5E66534A832BD4E471B118572118F2871F482F188790FCC3A53A16AD75B5DD4715AE6322903A50584139321FE5373537257653831F77NDp1H" TargetMode = "External"/>
	<Relationship Id="rId86" Type="http://schemas.openxmlformats.org/officeDocument/2006/relationships/hyperlink" Target="consultantplus://offline/ref=5E66534A832BD4E471B107463418F28719462C108F9FFCC3A53A16AD75B5DD4715AE6322903A57511663221BAC61382A24694C800177D2F9NDpBH" TargetMode = "External"/>
	<Relationship Id="rId87" Type="http://schemas.openxmlformats.org/officeDocument/2006/relationships/hyperlink" Target="consultantplus://offline/ref=5E66534A832BD4E471B107463418F28719462C108F9FFCC3A53A16AD75B5DD4715AE6322903A56571C63221BAC61382A24694C800177D2F9NDpBH" TargetMode = "External"/>
	<Relationship Id="rId88" Type="http://schemas.openxmlformats.org/officeDocument/2006/relationships/hyperlink" Target="consultantplus://offline/ref=5E66534A832BD4E471B107463418F28719492F1B8190FCC3A53A16AD75B5DD4715AE6322903A52541063221BAC61382A24694C800177D2F9NDpBH" TargetMode = "External"/>
	<Relationship Id="rId89" Type="http://schemas.openxmlformats.org/officeDocument/2006/relationships/hyperlink" Target="consultantplus://offline/ref=5E66534A832BD4E471B107463418F28719492F1B8190FCC3A53A16AD75B5DD4715AE6322903A52541363221BAC61382A24694C800177D2F9NDpBH" TargetMode = "External"/>
	<Relationship Id="rId90" Type="http://schemas.openxmlformats.org/officeDocument/2006/relationships/hyperlink" Target="consultantplus://offline/ref=5E66534A832BD4E471B107463418F28719462C108F9FFCC3A53A16AD75B5DD4715AE6322903A54571463221BAC61382A24694C800177D2F9NDpBH" TargetMode = "External"/>
	<Relationship Id="rId91" Type="http://schemas.openxmlformats.org/officeDocument/2006/relationships/hyperlink" Target="consultantplus://offline/ref=5E66534A832BD4E471B107463418F28719462C108F9FFCC3A53A16AD75B5DD4715AE6322903A54571463221BAC61382A24694C800177D2F9NDpBH" TargetMode = "External"/>
	<Relationship Id="rId92" Type="http://schemas.openxmlformats.org/officeDocument/2006/relationships/hyperlink" Target="consultantplus://offline/ref=5E66534A832BD4E471B107463418F28719462C108F9FFCC3A53A16AD75B5DD4715AE6322903A57571263221BAC61382A24694C800177D2F9NDpBH" TargetMode = "External"/>
	<Relationship Id="rId93" Type="http://schemas.openxmlformats.org/officeDocument/2006/relationships/hyperlink" Target="consultantplus://offline/ref=5E66534A832BD4E471B107463418F2871948291C8094FCC3A53A16AD75B5DD4715AE6322903A57561463221BAC61382A24694C800177D2F9NDpBH" TargetMode = "External"/>
	<Relationship Id="rId94" Type="http://schemas.openxmlformats.org/officeDocument/2006/relationships/hyperlink" Target="consultantplus://offline/ref=5E66534A832BD4E471B107463418F28719492F1B8190FCC3A53A16AD75B5DD4715AE6322903A52541263221BAC61382A24694C800177D2F9NDpBH" TargetMode = "External"/>
	<Relationship Id="rId95" Type="http://schemas.openxmlformats.org/officeDocument/2006/relationships/hyperlink" Target="consultantplus://offline/ref=5E66534A832BD4E471B107463418F2871948291C8094FCC3A53A16AD75B5DD4715AE6322903A57561763221BAC61382A24694C800177D2F9NDpBH" TargetMode = "External"/>
	<Relationship Id="rId96" Type="http://schemas.openxmlformats.org/officeDocument/2006/relationships/hyperlink" Target="consultantplus://offline/ref=5E66534A832BD4E471B107463418F28719492F1B8190FCC3A53A16AD75B5DD4715AE6322903A52541D63221BAC61382A24694C800177D2F9NDpBH" TargetMode = "External"/>
	<Relationship Id="rId97" Type="http://schemas.openxmlformats.org/officeDocument/2006/relationships/hyperlink" Target="consultantplus://offline/ref=5E66534A832BD4E471B118572118F2871F482F198E92FCC3A53A16AD75B5DD4715AE6320973A56584139321FE5373537257653831F77NDp1H" TargetMode = "External"/>
	<Relationship Id="rId98" Type="http://schemas.openxmlformats.org/officeDocument/2006/relationships/hyperlink" Target="consultantplus://offline/ref=5E66534A832BD4E471B118572118F2871F482F198E92FCC3A53A16AD75B5DD4715AE6320973850584139321FE5373537257653831F77NDp1H" TargetMode = "External"/>
	<Relationship Id="rId99" Type="http://schemas.openxmlformats.org/officeDocument/2006/relationships/hyperlink" Target="consultantplus://offline/ref=5E66534A832BD4E471B107463418F2871948291C8094FCC3A53A16AD75B5DD4715AE6322903A57561163221BAC61382A24694C800177D2F9NDpBH" TargetMode = "External"/>
	<Relationship Id="rId100" Type="http://schemas.openxmlformats.org/officeDocument/2006/relationships/hyperlink" Target="consultantplus://offline/ref=5E66534A832BD4E471B107463418F2871948291C8094FCC3A53A16AD75B5DD4715AE6322903A57561363221BAC61382A24694C800177D2F9NDpBH" TargetMode = "External"/>
	<Relationship Id="rId101" Type="http://schemas.openxmlformats.org/officeDocument/2006/relationships/hyperlink" Target="consultantplus://offline/ref=5E66534A832BD4E471B107463418F28719492F1B8190FCC3A53A16AD75B5DD4715AE6322903A525B1563221BAC61382A24694C800177D2F9NDpBH" TargetMode = "External"/>
	<Relationship Id="rId102" Type="http://schemas.openxmlformats.org/officeDocument/2006/relationships/hyperlink" Target="consultantplus://offline/ref=5E66534A832BD4E471B107463418F2871948291C8094FCC3A53A16AD75B5DD4715AE6322903A57561D63221BAC61382A24694C800177D2F9NDpBH" TargetMode = "External"/>
	<Relationship Id="rId103" Type="http://schemas.openxmlformats.org/officeDocument/2006/relationships/hyperlink" Target="consultantplus://offline/ref=5E66534A832BD4E471B107463418F2871948291C8094FCC3A53A16AD75B5DD4715AE6322903A57551563221BAC61382A24694C800177D2F9NDpBH" TargetMode = "External"/>
	<Relationship Id="rId104" Type="http://schemas.openxmlformats.org/officeDocument/2006/relationships/hyperlink" Target="consultantplus://offline/ref=5E66534A832BD4E471B118572118F2871F482F198E92FCC3A53A16AD75B5DD4715AE6320973A56584139321FE5373537257653831F77NDp1H" TargetMode = "External"/>
	<Relationship Id="rId105" Type="http://schemas.openxmlformats.org/officeDocument/2006/relationships/hyperlink" Target="consultantplus://offline/ref=5E66534A832BD4E471B118572118F2871F482F198E92FCC3A53A16AD75B5DD4715AE6320973850584139321FE5373537257653831F77NDp1H" TargetMode = "External"/>
	<Relationship Id="rId106" Type="http://schemas.openxmlformats.org/officeDocument/2006/relationships/hyperlink" Target="consultantplus://offline/ref=5E66534A832BD4E471B107463418F2871948291C8094FCC3A53A16AD75B5DD4715AE6322903A57551763221BAC61382A24694C800177D2F9NDpBH" TargetMode = "External"/>
	<Relationship Id="rId107" Type="http://schemas.openxmlformats.org/officeDocument/2006/relationships/hyperlink" Target="consultantplus://offline/ref=5E66534A832BD4E471B107463418F2871948291C8094FCC3A53A16AD75B5DD4715AE6322903A57551663221BAC61382A24694C800177D2F9NDpBH" TargetMode = "External"/>
	<Relationship Id="rId108" Type="http://schemas.openxmlformats.org/officeDocument/2006/relationships/hyperlink" Target="consultantplus://offline/ref=5E66534A832BD4E471B107463418F2871948291C8094FCC3A53A16AD75B5DD4715AE6322903A57551363221BAC61382A24694C800177D2F9NDpBH" TargetMode = "External"/>
	<Relationship Id="rId109" Type="http://schemas.openxmlformats.org/officeDocument/2006/relationships/hyperlink" Target="consultantplus://offline/ref=5E66534A832BD4E471B107463418F2871948291C8094FCC3A53A16AD75B5DD4715AE6322903A57551D63221BAC61382A24694C800177D2F9NDpBH" TargetMode = "External"/>
	<Relationship Id="rId110" Type="http://schemas.openxmlformats.org/officeDocument/2006/relationships/hyperlink" Target="consultantplus://offline/ref=5E66534A832BD4E471B107463418F28719492F1B8190FCC3A53A16AD75B5DD4715AE6322903A525B1763221BAC61382A24694C800177D2F9NDpBH" TargetMode = "External"/>
	<Relationship Id="rId111" Type="http://schemas.openxmlformats.org/officeDocument/2006/relationships/hyperlink" Target="consultantplus://offline/ref=5E66534A832BD4E471B107463418F2871948291C8094FCC3A53A16AD75B5DD4715AE6322903A57551C63221BAC61382A24694C800177D2F9NDpBH" TargetMode = "External"/>
	<Relationship Id="rId112" Type="http://schemas.openxmlformats.org/officeDocument/2006/relationships/hyperlink" Target="consultantplus://offline/ref=5E66534A832BD4E471B107463418F28719492F1B8190FCC3A53A16AD75B5DD4715AE6322903A525B1663221BAC61382A24694C800177D2F9NDpBH" TargetMode = "External"/>
	<Relationship Id="rId113" Type="http://schemas.openxmlformats.org/officeDocument/2006/relationships/hyperlink" Target="consultantplus://offline/ref=5E66534A832BD4E471B118572118F2871F482F198E92FCC3A53A16AD75B5DD4715AE6320973A56584139321FE5373537257653831F77NDp1H" TargetMode = "External"/>
	<Relationship Id="rId114" Type="http://schemas.openxmlformats.org/officeDocument/2006/relationships/hyperlink" Target="consultantplus://offline/ref=5E66534A832BD4E471B118572118F2871F482F198E92FCC3A53A16AD75B5DD4715AE6320973850584139321FE5373537257653831F77NDp1H" TargetMode = "External"/>
	<Relationship Id="rId115" Type="http://schemas.openxmlformats.org/officeDocument/2006/relationships/hyperlink" Target="consultantplus://offline/ref=5E66534A832BD4E471B107463418F2871948291C8094FCC3A53A16AD75B5DD4715AE6322903A57541463221BAC61382A24694C800177D2F9NDpBH" TargetMode = "External"/>
	<Relationship Id="rId116" Type="http://schemas.openxmlformats.org/officeDocument/2006/relationships/hyperlink" Target="consultantplus://offline/ref=5E66534A832BD4E471B107463418F2871948291C8094FCC3A53A16AD75B5DD4715AE6322903A57541663221BAC61382A24694C800177D2F9NDpBH" TargetMode = "External"/>
	<Relationship Id="rId117" Type="http://schemas.openxmlformats.org/officeDocument/2006/relationships/hyperlink" Target="consultantplus://offline/ref=5E66534A832BD4E471B107463418F28719492F1B8190FCC3A53A16AD75B5DD4715AE6322903A525B1063221BAC61382A24694C800177D2F9NDpBH" TargetMode = "External"/>
	<Relationship Id="rId118" Type="http://schemas.openxmlformats.org/officeDocument/2006/relationships/hyperlink" Target="consultantplus://offline/ref=5E66534A832BD4E471B107463418F2871948291C8094FCC3A53A16AD75B5DD4715AE6322903A57541063221BAC61382A24694C800177D2F9NDpBH" TargetMode = "External"/>
	<Relationship Id="rId119" Type="http://schemas.openxmlformats.org/officeDocument/2006/relationships/hyperlink" Target="consultantplus://offline/ref=5E66534A832BD4E471B107463418F28719492F1B8190FCC3A53A16AD75B5DD4715AE6322903A525B1263221BAC61382A24694C800177D2F9NDpBH" TargetMode = "External"/>
	<Relationship Id="rId120" Type="http://schemas.openxmlformats.org/officeDocument/2006/relationships/hyperlink" Target="consultantplus://offline/ref=5E66534A832BD4E471B107463418F2871948291C8094FCC3A53A16AD75B5DD4715AE6322903A57541263221BAC61382A24694C800177D2F9NDpBH" TargetMode = "External"/>
	<Relationship Id="rId121" Type="http://schemas.openxmlformats.org/officeDocument/2006/relationships/hyperlink" Target="consultantplus://offline/ref=5E66534A832BD4E471B118572118F2871F482F198E92FCC3A53A16AD75B5DD4715AE6320973A56584139321FE5373537257653831F77NDp1H" TargetMode = "External"/>
	<Relationship Id="rId122" Type="http://schemas.openxmlformats.org/officeDocument/2006/relationships/hyperlink" Target="consultantplus://offline/ref=5E66534A832BD4E471B118572118F2871F482F198E92FCC3A53A16AD75B5DD4715AE6320973850584139321FE5373537257653831F77NDp1H" TargetMode = "External"/>
	<Relationship Id="rId123" Type="http://schemas.openxmlformats.org/officeDocument/2006/relationships/hyperlink" Target="consultantplus://offline/ref=5E66534A832BD4E471B107463418F2871948291C8094FCC3A53A16AD75B5DD4715AE6322903A57541C63221BAC61382A24694C800177D2F9NDpBH" TargetMode = "External"/>
	<Relationship Id="rId124" Type="http://schemas.openxmlformats.org/officeDocument/2006/relationships/hyperlink" Target="consultantplus://offline/ref=5E66534A832BD4E471B107463418F2871948291C8094FCC3A53A16AD75B5DD4715AE6322903A575B1563221BAC61382A24694C800177D2F9NDpBH" TargetMode = "External"/>
	<Relationship Id="rId125" Type="http://schemas.openxmlformats.org/officeDocument/2006/relationships/hyperlink" Target="consultantplus://offline/ref=5E66534A832BD4E471B107463418F2871948291C8094FCC3A53A16AD75B5DD4715AE6322903A575B1663221BAC61382A24694C800177D2F9NDpBH" TargetMode = "External"/>
	<Relationship Id="rId126" Type="http://schemas.openxmlformats.org/officeDocument/2006/relationships/hyperlink" Target="consultantplus://offline/ref=5E66534A832BD4E471B107463418F28719492B1F8F95FCC3A53A16AD75B5DD4715AE6322903A56511663221BAC61382A24694C800177D2F9NDpBH" TargetMode = "External"/>
	<Relationship Id="rId127" Type="http://schemas.openxmlformats.org/officeDocument/2006/relationships/hyperlink" Target="consultantplus://offline/ref=5E66534A832BD4E471B118572118F2871F4A271C8395FCC3A53A16AD75B5DD4707AE3B2E933A4C521476744AEAN3p7H" TargetMode = "External"/>
	<Relationship Id="rId128" Type="http://schemas.openxmlformats.org/officeDocument/2006/relationships/hyperlink" Target="consultantplus://offline/ref=5E66534A832BD4E471B118572118F2871F4D2B1F869FFCC3A53A16AD75B5DD4715AE6322903A52531C63221BAC61382A24694C800177D2F9NDpBH" TargetMode = "External"/>
	<Relationship Id="rId129" Type="http://schemas.openxmlformats.org/officeDocument/2006/relationships/hyperlink" Target="consultantplus://offline/ref=5E66534A832BD4E471B118572118F2871F482F198E92FCC3A53A16AD75B5DD4715AE6320973A56584139321FE5373537257653831F77NDp1H" TargetMode = "External"/>
	<Relationship Id="rId130" Type="http://schemas.openxmlformats.org/officeDocument/2006/relationships/hyperlink" Target="consultantplus://offline/ref=5E66534A832BD4E471B118572118F2871F482F198E92FCC3A53A16AD75B5DD4715AE6320973850584139321FE5373537257653831F77NDp1H" TargetMode = "External"/>
	<Relationship Id="rId131" Type="http://schemas.openxmlformats.org/officeDocument/2006/relationships/hyperlink" Target="consultantplus://offline/ref=5E66534A832BD4E471B118572118F2871F482F198E92FCC3A53A16AD75B5DD4715AE6320973A56584139321FE5373537257653831F77NDp1H" TargetMode = "External"/>
	<Relationship Id="rId132" Type="http://schemas.openxmlformats.org/officeDocument/2006/relationships/hyperlink" Target="consultantplus://offline/ref=5E66534A832BD4E471B118572118F2871F482F198E92FCC3A53A16AD75B5DD4715AE6320973850584139321FE5373537257653831F77NDp1H" TargetMode = "External"/>
	<Relationship Id="rId133" Type="http://schemas.openxmlformats.org/officeDocument/2006/relationships/hyperlink" Target="consultantplus://offline/ref=5E66534A832BD4E471B107463418F28719492B1F8F95FCC3A53A16AD75B5DD4715AE6322903A54531263221BAC61382A24694C800177D2F9NDpBH" TargetMode = "External"/>
	<Relationship Id="rId134" Type="http://schemas.openxmlformats.org/officeDocument/2006/relationships/hyperlink" Target="consultantplus://offline/ref=5E66534A832BD4E471B118572118F2871F482F198E92FCC3A53A16AD75B5DD4715AE6320973A56584139321FE5373537257653831F77NDp1H" TargetMode = "External"/>
	<Relationship Id="rId135" Type="http://schemas.openxmlformats.org/officeDocument/2006/relationships/hyperlink" Target="consultantplus://offline/ref=5E66534A832BD4E471B118572118F2871F482F198E92FCC3A53A16AD75B5DD4715AE6320973850584139321FE5373537257653831F77NDp1H" TargetMode = "External"/>
	<Relationship Id="rId136" Type="http://schemas.openxmlformats.org/officeDocument/2006/relationships/hyperlink" Target="consultantplus://offline/ref=5E66534A832BD4E471B118572118F2871F482F198E92FCC3A53A16AD75B5DD4715AE6320973A56584139321FE5373537257653831F77NDp1H" TargetMode = "External"/>
	<Relationship Id="rId137" Type="http://schemas.openxmlformats.org/officeDocument/2006/relationships/hyperlink" Target="consultantplus://offline/ref=5E66534A832BD4E471B118572118F2871F482F198E92FCC3A53A16AD75B5DD4715AE6320973850584139321FE5373537257653831F77NDp1H" TargetMode = "External"/>
	<Relationship Id="rId138" Type="http://schemas.openxmlformats.org/officeDocument/2006/relationships/hyperlink" Target="consultantplus://offline/ref=5E66534A832BD4E471B107463418F28719492B1F8F95FCC3A53A16AD75B5DD4715AE6322903A5A531663221BAC61382A24694C800177D2F9NDpBH" TargetMode = "External"/>
	<Relationship Id="rId139" Type="http://schemas.openxmlformats.org/officeDocument/2006/relationships/hyperlink" Target="consultantplus://offline/ref=5E66534A832BD4E471B107463418F2871949261E869EFCC3A53A16AD75B5DD4715AE6322903A525A1D63221BAC61382A24694C800177D2F9NDpBH" TargetMode = "External"/>
	<Relationship Id="rId140" Type="http://schemas.openxmlformats.org/officeDocument/2006/relationships/hyperlink" Target="consultantplus://offline/ref=5E66534A832BD4E471B118572118F2871F482F198E92FCC3A53A16AD75B5DD4715AE6320973A56584139321FE5373537257653831F77NDp1H" TargetMode = "External"/>
	<Relationship Id="rId141" Type="http://schemas.openxmlformats.org/officeDocument/2006/relationships/hyperlink" Target="consultantplus://offline/ref=5E66534A832BD4E471B118572118F2871F482F198E92FCC3A53A16AD75B5DD4715AE6320973850584139321FE5373537257653831F77NDp1H" TargetMode = "External"/>
	<Relationship Id="rId142" Type="http://schemas.openxmlformats.org/officeDocument/2006/relationships/hyperlink" Target="consultantplus://offline/ref=5E66534A832BD4E471B107463418F2871949261E869EFCC3A53A16AD75B5DD4715AE6322903A525A1D63221BAC61382A24694C800177D2F9NDpBH" TargetMode = "External"/>
	<Relationship Id="rId143" Type="http://schemas.openxmlformats.org/officeDocument/2006/relationships/hyperlink" Target="consultantplus://offline/ref=5E66534A832BD4E471B107463418F2871949261E869EFCC3A53A16AD75B5DD4715AE6322903A525A1D63221BAC61382A24694C800177D2F9NDpBH" TargetMode = "External"/>
	<Relationship Id="rId144" Type="http://schemas.openxmlformats.org/officeDocument/2006/relationships/hyperlink" Target="consultantplus://offline/ref=5E66534A832BD4E471B118572118F2871F482F198E92FCC3A53A16AD75B5DD4715AE6320973A56584139321FE5373537257653831F77NDp1H" TargetMode = "External"/>
	<Relationship Id="rId145" Type="http://schemas.openxmlformats.org/officeDocument/2006/relationships/hyperlink" Target="consultantplus://offline/ref=5E66534A832BD4E471B118572118F2871F482F198E92FCC3A53A16AD75B5DD4715AE6320973850584139321FE5373537257653831F77NDp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30.09.2019 N 442
(ред. от 24.08.2023)
"О государственной программе Ленинградской области "Развитие внутреннего и въездного туризма в Ленинградской области"</dc:title>
  <dcterms:created xsi:type="dcterms:W3CDTF">2023-11-30T07:41:13Z</dcterms:created>
</cp:coreProperties>
</file>