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B" w:rsidRDefault="004848DB" w:rsidP="004848DB">
      <w:pPr>
        <w:pStyle w:val="ConsPlusNormal"/>
        <w:jc w:val="both"/>
      </w:pPr>
      <w:bookmarkStart w:id="0" w:name="_GoBack"/>
      <w:bookmarkEnd w:id="0"/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jc w:val="right"/>
        <w:outlineLvl w:val="1"/>
      </w:pPr>
      <w:r>
        <w:t>Приложение 1</w:t>
      </w:r>
    </w:p>
    <w:p w:rsidR="004848DB" w:rsidRDefault="004848DB">
      <w:pPr>
        <w:pStyle w:val="ConsPlusNormal"/>
        <w:jc w:val="right"/>
      </w:pPr>
      <w:r>
        <w:t>к государственной программе...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Title"/>
        <w:jc w:val="center"/>
      </w:pPr>
      <w:bookmarkStart w:id="1" w:name="P1842"/>
      <w:bookmarkEnd w:id="1"/>
      <w:r>
        <w:t>ПОРЯДОК</w:t>
      </w:r>
    </w:p>
    <w:p w:rsidR="004848DB" w:rsidRDefault="004848DB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4848DB" w:rsidRDefault="004848DB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4848DB" w:rsidRDefault="004848DB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848DB" w:rsidRDefault="004848DB">
      <w:pPr>
        <w:pStyle w:val="ConsPlusTitle"/>
        <w:jc w:val="center"/>
      </w:pPr>
      <w:r>
        <w:t xml:space="preserve">УЧРЕЖДЕНИЯМИ, НА РЕАЛИЗАЦИЮ ПРОЕКТА </w:t>
      </w:r>
      <w:proofErr w:type="gramStart"/>
      <w:r>
        <w:t>ТУРИСТСКО-ЭКСКУРСИОННЫХ</w:t>
      </w:r>
      <w:proofErr w:type="gramEnd"/>
    </w:p>
    <w:p w:rsidR="004848DB" w:rsidRDefault="004848DB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4848DB" w:rsidRDefault="004848DB">
      <w:pPr>
        <w:pStyle w:val="ConsPlusTitle"/>
        <w:jc w:val="center"/>
      </w:pPr>
      <w:r>
        <w:t>"МОЙ РОДНОЙ КРАЙ - ЛЕНИНГРАДСКАЯ ОБЛАСТЬ" В РАМКАХ</w:t>
      </w:r>
    </w:p>
    <w:p w:rsidR="004848DB" w:rsidRDefault="004848DB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4848DB" w:rsidRDefault="004848DB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4848DB" w:rsidRDefault="004848DB">
      <w:pPr>
        <w:pStyle w:val="ConsPlusNormal"/>
        <w:jc w:val="center"/>
      </w:pPr>
    </w:p>
    <w:p w:rsidR="004848DB" w:rsidRDefault="004848DB">
      <w:pPr>
        <w:pStyle w:val="ConsPlusTitle"/>
        <w:jc w:val="center"/>
        <w:outlineLvl w:val="2"/>
      </w:pPr>
      <w:r>
        <w:t>1. Общие положения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основного мероприятия "Проведение мероприятий, популяризирующих внутренний и въездной туризм в Ленинградской области" подпрограммы "Продвижение туристского потенциала Ленинградской области</w:t>
      </w:r>
      <w:proofErr w:type="gramEnd"/>
      <w:r>
        <w:t>" государственной программы Ленинградской области "Развитие внутреннего и въездного туризма в Ленинградской области" (далее - субсидии, соискатели субсидий, получатели субсидий).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Ленинградской области по туризму (далее - комитет);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конкурсный отбор -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1.3. Субсидия предоставляется некоммерческой организации в целях финансового обеспечения затрат некоммерческой организации на реализацию проекта туристско-экскурсионных поездок для школьников и учащихся Ленинградской области "Мой родной край - Ленинградская область" (далее - проект).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1.4.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доведенных лимитов бюджетных обязательств, предусмотренных комитету на текущий финансовый год.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2" w:name="P1862"/>
      <w:bookmarkEnd w:id="2"/>
      <w:r>
        <w:lastRenderedPageBreak/>
        <w:t xml:space="preserve"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</w:t>
      </w:r>
      <w:proofErr w:type="gramStart"/>
      <w:r>
        <w:t>виды</w:t>
      </w:r>
      <w:proofErr w:type="gramEnd"/>
      <w:r>
        <w:t xml:space="preserve"> деятельности которых направлены на создание современной, конкурентоспособной туристской индустрии и содействие развитию туристских предприятий и рынка туристских услуг.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3" w:name="P1863"/>
      <w:bookmarkEnd w:id="3"/>
      <w:r>
        <w:t>1.6. Критерии отбора соискателей субсидий: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а) количество реализованных проектов в сфере детско-юношеского туризма за последние пять лет;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б) количество участников, вовлеченных в реализованные проекты в сфере детско-юношеского туризма;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в) количество субъектов Российской Федерации, на территории которых реализованы проекты в сфере детско-юношеского туризма;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г) наличие наград, премий и благодарностей некоммерческой организации за достигнутые результаты в сфере детско-юношеского туризма.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Title"/>
        <w:jc w:val="center"/>
        <w:outlineLvl w:val="2"/>
      </w:pPr>
      <w:r>
        <w:t>2. Условия и порядок предоставления субсидий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  <w:bookmarkStart w:id="4" w:name="P1871"/>
      <w:bookmarkEnd w:id="4"/>
      <w:r>
        <w:t>2.1. Субсидии предоставляются при соблюдении следующих условий: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1) соответствие соискателя требованиям, установленным </w:t>
      </w:r>
      <w:hyperlink w:anchor="P1862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863" w:history="1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2) соответствие соискателя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а) соискатель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б) соискатель не имеет просроченной задолженности по возврату в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в) в отношении соискателя отсутствует проведение процедуры реорганизации, ликвидации, банкротства, приостановления или ограничения на осуществление хозяйственной деятельности,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г) соискатель не должен находиться в реестре недобросовестных поставщиков,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д) соискатель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е) соискатель не имеет задолженности по заработной плате перед работниками,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региональными соглашениями о минимальной заработной плате в Ленинградской области,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з)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5) представление документов, указанных в </w:t>
      </w:r>
      <w:hyperlink w:anchor="P1889" w:history="1">
        <w:r>
          <w:rPr>
            <w:color w:val="0000FF"/>
          </w:rPr>
          <w:t>пункте 2.5</w:t>
        </w:r>
      </w:hyperlink>
      <w:r>
        <w:t xml:space="preserve"> настоящего Порядка, в сроки, установленные </w:t>
      </w:r>
      <w:hyperlink w:anchor="P188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2.2. Субсидии предоставляются по результатам конкурсного отбора.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5" w:name="P1886"/>
      <w:bookmarkEnd w:id="5"/>
      <w:r>
        <w:t xml:space="preserve">2.3. </w:t>
      </w:r>
      <w:proofErr w:type="gramStart"/>
      <w:r>
        <w:t>Информация о проведении конкурсного отбора с указанием сроков подачи заявок на участие в конкурсном отборе (далее - заявка) размещается на официальном сайте комитета в информационно-телекоммуникационной сети "Интернет" в течение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комитета, в котором указываются сроки приема заявок на участие</w:t>
      </w:r>
      <w:proofErr w:type="gramEnd"/>
      <w:r>
        <w:t xml:space="preserve"> в конкурсном отборе для предоставления субсидий (далее - заявка) и способ подачи заявок.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Срок приема заявок не может быть менее 10 и более 30 календарных дней со дня размещения информации о проведении конкурсного отбора.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2.4. Поступающие заявки регистрируются в соответствующем журнале в день поступления в комитет.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6" w:name="P1889"/>
      <w:bookmarkEnd w:id="6"/>
      <w:r>
        <w:t>2.5. Для участия в конкурсном отборе соискатели представляют в комитет заявку, включающую следующие документы: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г) справку об отсутствии просроченной задолженности по возврату в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д) справку об отсутствии проведения в отношении соискателя процедуры реорганизации, ликвидации, банкротства, приостановления или ограничения на осуществление хозяйственной </w:t>
      </w:r>
      <w:r>
        <w:lastRenderedPageBreak/>
        <w:t>деятельности, заверенную подписями руководителя, главного бухгалтера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е) справку о том, что соискатель не находится в реестре недобросовестных поставщиков, заверенную подписью руководителя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ж) справку о том, что в текущем финансовом году соискатель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к) копию документа, подтверждающего полномочия руководителя, заверенного подписью руководителя и печатью (при наличии).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7" w:name="P1900"/>
      <w:bookmarkEnd w:id="7"/>
      <w:r>
        <w:t>2.6.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t>Межвед</w:t>
      </w:r>
      <w:proofErr w:type="spellEnd"/>
      <w:r>
        <w:t xml:space="preserve"> ЛО") комитетом запрашиваются: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2.7. Соискатель вправе представить документы, указанные в </w:t>
      </w:r>
      <w:hyperlink w:anchor="P1900" w:history="1">
        <w:r>
          <w:rPr>
            <w:color w:val="0000FF"/>
          </w:rPr>
          <w:t>пункте 2.6</w:t>
        </w:r>
      </w:hyperlink>
      <w:r>
        <w:t xml:space="preserve"> 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2.8.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Комитет обязан проводить проверку достоверности сведений, содержащихся в заявке и представленных соискателем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2.10.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2.11. Рассмотрение и оценка заявок осуществляется экспертным советом в срок не позднее 15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 Порядок работы и состав экспертного совета утверждаются правовыми актами комитета.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2.12. Конкурсный отбор осуществляется путем рассмотрения представленных заявок на предмет соответствия требованиям, установленным </w:t>
      </w:r>
      <w:hyperlink w:anchor="P1862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889" w:history="1">
        <w:r>
          <w:rPr>
            <w:color w:val="0000FF"/>
          </w:rPr>
          <w:t>2.5</w:t>
        </w:r>
      </w:hyperlink>
      <w:r>
        <w:t xml:space="preserve"> настоящего Порядка, оценки соискателя на предмет соответствия требованиям, установленным </w:t>
      </w:r>
      <w:hyperlink w:anchor="P1871" w:history="1">
        <w:r>
          <w:rPr>
            <w:color w:val="0000FF"/>
          </w:rPr>
          <w:t>пунктом 2.1</w:t>
        </w:r>
      </w:hyperlink>
      <w:r>
        <w:t xml:space="preserve"> настоящего Порядка, в соответствии с критериями, указанными в </w:t>
      </w:r>
      <w:hyperlink w:anchor="P1863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lastRenderedPageBreak/>
        <w:t xml:space="preserve">2.13. Представленные на конкурс заявки оцениваются экспертным советом по балльной системе в соответствии с критериями, указанными в </w:t>
      </w:r>
      <w:hyperlink w:anchor="P1863" w:history="1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4848DB" w:rsidRDefault="00484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3742"/>
      </w:tblGrid>
      <w:tr w:rsidR="004848DB">
        <w:tc>
          <w:tcPr>
            <w:tcW w:w="510" w:type="dxa"/>
          </w:tcPr>
          <w:p w:rsidR="004848DB" w:rsidRDefault="004848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4848DB" w:rsidRDefault="004848D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42" w:type="dxa"/>
          </w:tcPr>
          <w:p w:rsidR="004848DB" w:rsidRDefault="004848D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848DB">
        <w:tc>
          <w:tcPr>
            <w:tcW w:w="510" w:type="dxa"/>
            <w:vMerge w:val="restart"/>
          </w:tcPr>
          <w:p w:rsidR="004848DB" w:rsidRDefault="004848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Merge w:val="restart"/>
          </w:tcPr>
          <w:p w:rsidR="004848DB" w:rsidRDefault="004848DB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4 и более проектов - 30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1-3 проекта - 20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0 проектов - 0 баллов</w:t>
            </w:r>
          </w:p>
        </w:tc>
      </w:tr>
      <w:tr w:rsidR="004848DB">
        <w:tc>
          <w:tcPr>
            <w:tcW w:w="510" w:type="dxa"/>
            <w:vMerge w:val="restart"/>
          </w:tcPr>
          <w:p w:rsidR="004848DB" w:rsidRDefault="004848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vMerge w:val="restart"/>
          </w:tcPr>
          <w:p w:rsidR="004848DB" w:rsidRDefault="004848DB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Более 40000 чел. - 30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10000-40000 чел. - 15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менее 10000 чел. - 5 баллов</w:t>
            </w:r>
          </w:p>
        </w:tc>
      </w:tr>
      <w:tr w:rsidR="004848DB">
        <w:tc>
          <w:tcPr>
            <w:tcW w:w="510" w:type="dxa"/>
            <w:vMerge w:val="restart"/>
          </w:tcPr>
          <w:p w:rsidR="004848DB" w:rsidRDefault="004848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Merge w:val="restart"/>
          </w:tcPr>
          <w:p w:rsidR="004848DB" w:rsidRDefault="004848DB">
            <w:pPr>
              <w:pStyle w:val="ConsPlusNormal"/>
            </w:pPr>
            <w: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40 и более субъектов Российской Федерации - 25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1-39 субъектов Российской Федерации - 10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  <w:tr w:rsidR="004848DB">
        <w:tc>
          <w:tcPr>
            <w:tcW w:w="510" w:type="dxa"/>
            <w:vMerge w:val="restart"/>
          </w:tcPr>
          <w:p w:rsidR="004848DB" w:rsidRDefault="004848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Merge w:val="restart"/>
          </w:tcPr>
          <w:p w:rsidR="004848DB" w:rsidRDefault="004848DB">
            <w:pPr>
              <w:pStyle w:val="ConsPlusNormal"/>
            </w:pPr>
            <w:r>
              <w:t>Наличие наград, премий и благодарностей некоммерческой организации за достигнутые результаты в сфере детско-юношеского туризма</w:t>
            </w:r>
          </w:p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Федеральные награды (премии, благодарности) - 15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Региональные награды (премии, благодарности) - 5 баллов</w:t>
            </w:r>
          </w:p>
        </w:tc>
      </w:tr>
      <w:tr w:rsidR="004848DB">
        <w:tc>
          <w:tcPr>
            <w:tcW w:w="510" w:type="dxa"/>
            <w:vMerge/>
          </w:tcPr>
          <w:p w:rsidR="004848DB" w:rsidRDefault="004848DB"/>
        </w:tc>
        <w:tc>
          <w:tcPr>
            <w:tcW w:w="4819" w:type="dxa"/>
            <w:vMerge/>
          </w:tcPr>
          <w:p w:rsidR="004848DB" w:rsidRDefault="004848DB"/>
        </w:tc>
        <w:tc>
          <w:tcPr>
            <w:tcW w:w="3742" w:type="dxa"/>
          </w:tcPr>
          <w:p w:rsidR="004848DB" w:rsidRDefault="004848DB">
            <w:pPr>
              <w:pStyle w:val="ConsPlusNormal"/>
            </w:pPr>
            <w:r>
              <w:t>Отсутствие наград (премий, благодарностей) - 0 баллов</w:t>
            </w:r>
          </w:p>
        </w:tc>
      </w:tr>
    </w:tbl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  <w:r>
        <w:t>2.14. Победителем конкурсного отбора признается соискатель, набравший в сумме наибольшее количество баллов.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Если несколько соискателей набрали одинаковое количество баллов, то победителем конкурсного отбора признается соискатель, подавший заявку ранее других.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2.15. Основаниями для отказа в предоставлении субсидии являются: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определенным </w:t>
      </w:r>
      <w:hyperlink w:anchor="P1889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в) несоответствие соискателя требованиям, указанным в </w:t>
      </w:r>
      <w:hyperlink w:anchor="P1862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1863" w:history="1">
        <w:r>
          <w:rPr>
            <w:color w:val="0000FF"/>
          </w:rPr>
          <w:t>1.6</w:t>
        </w:r>
      </w:hyperlink>
      <w:r>
        <w:t xml:space="preserve"> и </w:t>
      </w:r>
      <w:hyperlink w:anchor="P1871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г) непредставление документов в срок, установленный </w:t>
      </w:r>
      <w:hyperlink w:anchor="P188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2.16. Результаты рассмотрения экспертным советом заявок оформляются протоколом, который подписывается всеми членами экспертного совета не позднее трех рабочих дней </w:t>
      </w:r>
      <w:proofErr w:type="gramStart"/>
      <w:r>
        <w:t xml:space="preserve">с даты </w:t>
      </w:r>
      <w:r>
        <w:lastRenderedPageBreak/>
        <w:t>заседания</w:t>
      </w:r>
      <w:proofErr w:type="gramEnd"/>
      <w:r>
        <w:t xml:space="preserve"> экспертного совета. Протокол заседания экспертного совета размещается комитетом на официальном сайте комитета в информационно-телекоммуникационной сети "Интернет" в течение трех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8" w:name="P1943"/>
      <w:bookmarkEnd w:id="8"/>
      <w:r>
        <w:t xml:space="preserve">2.17. </w:t>
      </w:r>
      <w:proofErr w:type="gramStart"/>
      <w:r>
        <w:t>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совета, оформляется распоряжением комитета в течение пяти рабочих дней с даты оформления протокола экспертного совета и размещается на официальном сайте комитета в информационно-телекоммуникационной сети "Интернет" не позднее пяти рабочих дней со дня его принятия.</w:t>
      </w:r>
      <w:proofErr w:type="gramEnd"/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2.18. В течение трех рабочих дней </w:t>
      </w:r>
      <w:proofErr w:type="gramStart"/>
      <w:r>
        <w:t>с даты принятия</w:t>
      </w:r>
      <w:proofErr w:type="gramEnd"/>
      <w:r>
        <w:t xml:space="preserve"> правового акта комитет посредством электронной почты уведомляет получателя субсидии о необходимости заключения Соглашения.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Соискатели,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2.19. Соглашение с победителем конкурсного отбора заключается в течение 10 рабочих дней </w:t>
      </w:r>
      <w:proofErr w:type="gramStart"/>
      <w:r>
        <w:t>с даты издания</w:t>
      </w:r>
      <w:proofErr w:type="gramEnd"/>
      <w:r>
        <w:t xml:space="preserve"> правового акта комитета, указанного в </w:t>
      </w:r>
      <w:hyperlink w:anchor="P1943" w:history="1">
        <w:r>
          <w:rPr>
            <w:color w:val="0000FF"/>
          </w:rPr>
          <w:t>пункте 2.17</w:t>
        </w:r>
      </w:hyperlink>
      <w:r>
        <w:t xml:space="preserve"> настоящего Порядка.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2.20.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информационно-телекоммуникационной сети "Интернет" не позднее трех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2.21. При наличии единственной заявки на конкурсном отборе и объема не распределенных на момент проведения заседания экспертного совета средств комитет принимает решение о предоставлении субсидии единственному соискателю, соответствующему условиям и критериям конкурсного отбора.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2.22.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на соответствующий финансовый год.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2.23. В случае отказа получателя субсидии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2.24. Значения показателей результативности предоставления субсидии устанавливаются комитетом в Соглашении.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2.25.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2.26. Перечисление субсидии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Title"/>
        <w:jc w:val="center"/>
        <w:outlineLvl w:val="2"/>
      </w:pPr>
      <w:r>
        <w:t>3. Осуществление отчетности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  <w:r>
        <w:lastRenderedPageBreak/>
        <w:t>Форма и сроки представления получателем субсидии отчетности о достижении показателей результативности определяются Соглашением.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Title"/>
        <w:jc w:val="center"/>
        <w:outlineLvl w:val="2"/>
      </w:pPr>
      <w:r>
        <w:t xml:space="preserve">4. Требования по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848DB" w:rsidRDefault="004848DB">
      <w:pPr>
        <w:pStyle w:val="ConsPlusTitle"/>
        <w:jc w:val="center"/>
      </w:pPr>
      <w:r>
        <w:t>условий, целей и порядка предоставления субсидий,</w:t>
      </w:r>
    </w:p>
    <w:p w:rsidR="004848DB" w:rsidRDefault="004848DB">
      <w:pPr>
        <w:pStyle w:val="ConsPlusTitle"/>
        <w:jc w:val="center"/>
      </w:pPr>
      <w:r>
        <w:t>ответственность за их нарушение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  <w:r>
        <w:t xml:space="preserve">4.1.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4848DB" w:rsidRDefault="004848DB">
      <w:pPr>
        <w:pStyle w:val="ConsPlusNormal"/>
        <w:spacing w:before="220"/>
        <w:ind w:firstLine="540"/>
        <w:jc w:val="both"/>
      </w:pPr>
      <w:bookmarkStart w:id="9" w:name="P1964"/>
      <w:bookmarkEnd w:id="9"/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субсидии, определенных Соглашением, соответствующие средства подлежат возврату в доход бюджета Ленинградской области: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б) на основании представления </w:t>
      </w:r>
      <w:proofErr w:type="gramStart"/>
      <w:r>
        <w:t>и(</w:t>
      </w:r>
      <w:proofErr w:type="gramEnd"/>
      <w: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 xml:space="preserve">4.3. В случае отказа вернуть средства субсидии, подлежащие возврату в установленные </w:t>
      </w:r>
      <w:hyperlink w:anchor="P1964" w:history="1">
        <w:r>
          <w:rPr>
            <w:color w:val="0000FF"/>
          </w:rPr>
          <w:t>пунктом 4.2</w:t>
        </w:r>
      </w:hyperlink>
      <w:r>
        <w:t xml:space="preserve"> настоящего Порядка сроки, взыскание денежных средств осуществляется в судебном порядке.</w:t>
      </w:r>
    </w:p>
    <w:p w:rsidR="004848DB" w:rsidRDefault="004848DB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</w:p>
    <w:p w:rsidR="004848DB" w:rsidRDefault="004848DB">
      <w:pPr>
        <w:pStyle w:val="ConsPlusNormal"/>
        <w:ind w:firstLine="540"/>
        <w:jc w:val="both"/>
      </w:pPr>
    </w:p>
    <w:sectPr w:rsidR="004848DB" w:rsidSect="008655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DB"/>
    <w:rsid w:val="002701A6"/>
    <w:rsid w:val="004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8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8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2020-06-29T05:36:00Z</dcterms:created>
  <dcterms:modified xsi:type="dcterms:W3CDTF">2020-06-29T05:38:00Z</dcterms:modified>
</cp:coreProperties>
</file>